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6238A" w14:textId="77777777" w:rsidR="00970358" w:rsidRPr="00B83F12" w:rsidRDefault="00970358" w:rsidP="00B83F12">
      <w:pPr>
        <w:jc w:val="both"/>
        <w:rPr>
          <w:rFonts w:asciiTheme="majorHAnsi" w:hAnsiTheme="majorHAnsi" w:cstheme="majorHAnsi"/>
          <w:lang w:val="mk-MK"/>
        </w:rPr>
      </w:pPr>
    </w:p>
    <w:p w14:paraId="64769E6E" w14:textId="2527CB33" w:rsidR="00B83F12" w:rsidRPr="00B83F12" w:rsidRDefault="00B83F12" w:rsidP="00B83F12">
      <w:pPr>
        <w:jc w:val="center"/>
        <w:rPr>
          <w:rFonts w:asciiTheme="majorHAnsi" w:hAnsiTheme="majorHAnsi" w:cstheme="majorHAnsi"/>
          <w:b/>
          <w:sz w:val="28"/>
        </w:rPr>
      </w:pPr>
      <w:r w:rsidRPr="00B83F12">
        <w:rPr>
          <w:rFonts w:asciiTheme="majorHAnsi" w:hAnsiTheme="majorHAnsi" w:cstheme="majorHAnsi"/>
          <w:b/>
          <w:sz w:val="28"/>
        </w:rPr>
        <w:t>Транскрипт од изјавата на З</w:t>
      </w:r>
      <w:r w:rsidRPr="00B83F12">
        <w:rPr>
          <w:rFonts w:asciiTheme="majorHAnsi" w:hAnsiTheme="majorHAnsi" w:cstheme="majorHAnsi"/>
          <w:b/>
          <w:sz w:val="28"/>
          <w:lang w:val="mk-MK"/>
        </w:rPr>
        <w:t>П</w:t>
      </w:r>
      <w:r w:rsidRPr="00B83F12">
        <w:rPr>
          <w:rFonts w:asciiTheme="majorHAnsi" w:hAnsiTheme="majorHAnsi" w:cstheme="majorHAnsi"/>
          <w:b/>
          <w:sz w:val="28"/>
        </w:rPr>
        <w:t>В Димитров на прес-конференцијата за Извештајот на ЕК за Северна Македонија за 2021 година</w:t>
      </w:r>
    </w:p>
    <w:p w14:paraId="35A8D799" w14:textId="77777777" w:rsidR="00B83F12" w:rsidRPr="00B83F12" w:rsidRDefault="00B83F12" w:rsidP="00B83F12">
      <w:pPr>
        <w:jc w:val="both"/>
        <w:rPr>
          <w:rFonts w:asciiTheme="majorHAnsi" w:hAnsiTheme="majorHAnsi" w:cstheme="majorHAnsi"/>
        </w:rPr>
      </w:pPr>
    </w:p>
    <w:p w14:paraId="2963E92B" w14:textId="77777777" w:rsidR="00B83F12" w:rsidRPr="00B83F12" w:rsidRDefault="00B83F12" w:rsidP="00B83F12">
      <w:pPr>
        <w:jc w:val="both"/>
        <w:rPr>
          <w:rFonts w:asciiTheme="majorHAnsi" w:hAnsiTheme="majorHAnsi" w:cstheme="majorHAnsi"/>
        </w:rPr>
      </w:pPr>
      <w:r w:rsidRPr="00B83F12">
        <w:rPr>
          <w:rFonts w:asciiTheme="majorHAnsi" w:hAnsiTheme="majorHAnsi" w:cstheme="majorHAnsi"/>
        </w:rPr>
        <w:t>Почитуван амбасадор Гир,</w:t>
      </w:r>
    </w:p>
    <w:p w14:paraId="78F4CF44" w14:textId="77777777" w:rsidR="00B83F12" w:rsidRPr="00B83F12" w:rsidRDefault="00B83F12" w:rsidP="00B83F12">
      <w:pPr>
        <w:jc w:val="both"/>
        <w:rPr>
          <w:rFonts w:asciiTheme="majorHAnsi" w:hAnsiTheme="majorHAnsi" w:cstheme="majorHAnsi"/>
        </w:rPr>
      </w:pPr>
      <w:r w:rsidRPr="00B83F12">
        <w:rPr>
          <w:rFonts w:asciiTheme="majorHAnsi" w:hAnsiTheme="majorHAnsi" w:cstheme="majorHAnsi"/>
        </w:rPr>
        <w:t>Почитувани граѓани, медиуми,</w:t>
      </w:r>
    </w:p>
    <w:p w14:paraId="62C049D4" w14:textId="77777777" w:rsidR="00B83F12" w:rsidRPr="00B83F12" w:rsidRDefault="00B83F12" w:rsidP="00B83F12">
      <w:pPr>
        <w:jc w:val="both"/>
        <w:rPr>
          <w:rFonts w:asciiTheme="majorHAnsi" w:hAnsiTheme="majorHAnsi" w:cstheme="majorHAnsi"/>
        </w:rPr>
      </w:pPr>
    </w:p>
    <w:p w14:paraId="05DD3A0A" w14:textId="77777777" w:rsidR="00B83F12" w:rsidRPr="00B83F12" w:rsidRDefault="00B83F12" w:rsidP="00B83F12">
      <w:pPr>
        <w:jc w:val="both"/>
        <w:rPr>
          <w:rFonts w:asciiTheme="majorHAnsi" w:hAnsiTheme="majorHAnsi" w:cstheme="majorHAnsi"/>
        </w:rPr>
      </w:pPr>
      <w:proofErr w:type="gramStart"/>
      <w:r w:rsidRPr="00B83F12">
        <w:rPr>
          <w:rFonts w:asciiTheme="majorHAnsi" w:hAnsiTheme="majorHAnsi" w:cstheme="majorHAnsi"/>
        </w:rPr>
        <w:t xml:space="preserve">Благодарност прво за овој пресек на Извештајот, оваа </w:t>
      </w:r>
      <w:r w:rsidRPr="00B83F12">
        <w:rPr>
          <w:rFonts w:asciiTheme="majorHAnsi" w:hAnsiTheme="majorHAnsi" w:cstheme="majorHAnsi"/>
          <w:u w:val="single"/>
        </w:rPr>
        <w:t>објективна, сеопфатна и реална анализа на состојбите, остварениот напредок и вкупна подготвеност</w:t>
      </w:r>
      <w:r w:rsidRPr="00B83F12">
        <w:rPr>
          <w:rFonts w:asciiTheme="majorHAnsi" w:hAnsiTheme="majorHAnsi" w:cstheme="majorHAnsi"/>
        </w:rPr>
        <w:t>, но и наша референтна точка што ги диктира реформите од европската агендата.</w:t>
      </w:r>
      <w:proofErr w:type="gramEnd"/>
      <w:r w:rsidRPr="00B83F12">
        <w:rPr>
          <w:rFonts w:asciiTheme="majorHAnsi" w:hAnsiTheme="majorHAnsi" w:cstheme="majorHAnsi"/>
        </w:rPr>
        <w:t xml:space="preserve"> </w:t>
      </w:r>
    </w:p>
    <w:p w14:paraId="130833F4" w14:textId="77777777" w:rsidR="00B83F12" w:rsidRPr="00B83F12" w:rsidRDefault="00B83F12" w:rsidP="00B83F12">
      <w:pPr>
        <w:jc w:val="both"/>
        <w:rPr>
          <w:rFonts w:asciiTheme="majorHAnsi" w:hAnsiTheme="majorHAnsi" w:cstheme="majorHAnsi"/>
        </w:rPr>
      </w:pPr>
    </w:p>
    <w:p w14:paraId="3CBDD276" w14:textId="77777777" w:rsidR="00B83F12" w:rsidRPr="00B83F12" w:rsidRDefault="00B83F12" w:rsidP="00B83F12">
      <w:pPr>
        <w:jc w:val="both"/>
        <w:rPr>
          <w:rFonts w:asciiTheme="majorHAnsi" w:hAnsiTheme="majorHAnsi" w:cstheme="majorHAnsi"/>
        </w:rPr>
      </w:pPr>
      <w:proofErr w:type="gramStart"/>
      <w:r w:rsidRPr="00B83F12">
        <w:rPr>
          <w:rFonts w:asciiTheme="majorHAnsi" w:hAnsiTheme="majorHAnsi" w:cstheme="majorHAnsi"/>
        </w:rPr>
        <w:t>Веројатно во еден дел ќе се повторувам со амбасадорот Гир, меѓутоа мислам дека има и некои агли коишто ќе бидат различни и различни елементи ќе потенцирам.</w:t>
      </w:r>
      <w:proofErr w:type="gramEnd"/>
      <w:r w:rsidRPr="00B83F12">
        <w:rPr>
          <w:rFonts w:asciiTheme="majorHAnsi" w:hAnsiTheme="majorHAnsi" w:cstheme="majorHAnsi"/>
        </w:rPr>
        <w:t xml:space="preserve"> </w:t>
      </w:r>
      <w:proofErr w:type="gramStart"/>
      <w:r w:rsidRPr="00B83F12">
        <w:rPr>
          <w:rFonts w:asciiTheme="majorHAnsi" w:hAnsiTheme="majorHAnsi" w:cstheme="majorHAnsi"/>
        </w:rPr>
        <w:t xml:space="preserve">Морам да почнам со тоа што го кажа евроамбасадорот како клучна политичка порака на годинешниов извештај на Европската комисија – </w:t>
      </w:r>
      <w:r w:rsidRPr="00B83F12">
        <w:rPr>
          <w:rFonts w:asciiTheme="majorHAnsi" w:hAnsiTheme="majorHAnsi" w:cstheme="majorHAnsi"/>
          <w:b/>
        </w:rPr>
        <w:t>продолжуваме да ги исполнуваме условите за отворање на пристапни преговори, дека властите јавно ја демонстрираат својата цврста посветеност за напредокот на земјата на нејзиниот пат кон Европската Унија</w:t>
      </w:r>
      <w:r w:rsidRPr="00B83F12">
        <w:rPr>
          <w:rFonts w:asciiTheme="majorHAnsi" w:hAnsiTheme="majorHAnsi" w:cstheme="majorHAnsi"/>
        </w:rPr>
        <w:t>.</w:t>
      </w:r>
      <w:proofErr w:type="gramEnd"/>
      <w:r w:rsidRPr="00B83F12">
        <w:rPr>
          <w:rFonts w:asciiTheme="majorHAnsi" w:hAnsiTheme="majorHAnsi" w:cstheme="majorHAnsi"/>
        </w:rPr>
        <w:t xml:space="preserve"> </w:t>
      </w:r>
    </w:p>
    <w:p w14:paraId="593FC2E5" w14:textId="77777777" w:rsidR="00B83F12" w:rsidRPr="00B83F12" w:rsidRDefault="00B83F12" w:rsidP="00B83F12">
      <w:pPr>
        <w:jc w:val="both"/>
        <w:rPr>
          <w:rFonts w:asciiTheme="majorHAnsi" w:hAnsiTheme="majorHAnsi" w:cstheme="majorHAnsi"/>
        </w:rPr>
      </w:pPr>
    </w:p>
    <w:p w14:paraId="7E24B6B6" w14:textId="77777777" w:rsidR="00B83F12" w:rsidRPr="00B83F12" w:rsidRDefault="00B83F12" w:rsidP="00B83F12">
      <w:pPr>
        <w:jc w:val="both"/>
        <w:rPr>
          <w:rFonts w:asciiTheme="majorHAnsi" w:hAnsiTheme="majorHAnsi" w:cstheme="majorHAnsi"/>
        </w:rPr>
      </w:pPr>
      <w:r w:rsidRPr="00B83F12">
        <w:rPr>
          <w:rFonts w:asciiTheme="majorHAnsi" w:hAnsiTheme="majorHAnsi" w:cstheme="majorHAnsi"/>
          <w:b/>
        </w:rPr>
        <w:t>Земјата одржа стабилно или постојано – во зависност од тоа како го преведуваме „steady</w:t>
      </w:r>
      <w:proofErr w:type="gramStart"/>
      <w:r w:rsidRPr="00B83F12">
        <w:rPr>
          <w:rFonts w:asciiTheme="majorHAnsi" w:hAnsiTheme="majorHAnsi" w:cstheme="majorHAnsi"/>
          <w:b/>
        </w:rPr>
        <w:t>“ и</w:t>
      </w:r>
      <w:proofErr w:type="gramEnd"/>
      <w:r w:rsidRPr="00B83F12">
        <w:rPr>
          <w:rFonts w:asciiTheme="majorHAnsi" w:hAnsiTheme="majorHAnsi" w:cstheme="majorHAnsi"/>
          <w:b/>
        </w:rPr>
        <w:t xml:space="preserve"> одлучно темпо во унапредување на ЕУ реформите и ги засили своите напори за постигнување на натамошни видливи односно опипливи резултати</w:t>
      </w:r>
      <w:r w:rsidRPr="00B83F12">
        <w:rPr>
          <w:rFonts w:asciiTheme="majorHAnsi" w:hAnsiTheme="majorHAnsi" w:cstheme="majorHAnsi"/>
        </w:rPr>
        <w:t xml:space="preserve">. </w:t>
      </w:r>
      <w:proofErr w:type="gramStart"/>
      <w:r w:rsidRPr="00B83F12">
        <w:rPr>
          <w:rFonts w:asciiTheme="majorHAnsi" w:hAnsiTheme="majorHAnsi" w:cstheme="majorHAnsi"/>
        </w:rPr>
        <w:t>Ова е јасна и недвосмислена потврда дека во време на сериозни предизвици – и во однос на фокусот во битката против пандемијата, но и специфичните политички предизвици со кои се соочуваме, со посветеност и упорност успеавме да задржиме високо ниво на подготвеност за членство.</w:t>
      </w:r>
      <w:proofErr w:type="gramEnd"/>
      <w:r w:rsidRPr="00B83F12">
        <w:rPr>
          <w:rFonts w:asciiTheme="majorHAnsi" w:hAnsiTheme="majorHAnsi" w:cstheme="majorHAnsi"/>
        </w:rPr>
        <w:t xml:space="preserve"> </w:t>
      </w:r>
      <w:proofErr w:type="gramStart"/>
      <w:r w:rsidRPr="00B83F12">
        <w:rPr>
          <w:rFonts w:asciiTheme="majorHAnsi" w:hAnsiTheme="majorHAnsi" w:cstheme="majorHAnsi"/>
        </w:rPr>
        <w:t xml:space="preserve">Инаку ќе споменам бидејќи понекогаш во извештаите, не секогаш е јасно кажано – во извештаите се оперира со два критериума, </w:t>
      </w:r>
      <w:r w:rsidRPr="00B83F12">
        <w:rPr>
          <w:rFonts w:asciiTheme="majorHAnsi" w:hAnsiTheme="majorHAnsi" w:cstheme="majorHAnsi"/>
          <w:u w:val="single"/>
        </w:rPr>
        <w:t>вкупна подготвеност и напредок</w:t>
      </w:r>
      <w:r w:rsidRPr="00B83F12">
        <w:rPr>
          <w:rFonts w:asciiTheme="majorHAnsi" w:hAnsiTheme="majorHAnsi" w:cstheme="majorHAnsi"/>
        </w:rPr>
        <w:t>, меѓутоа оваа вкупна подготвеност не се однесува за почеток на пристапните преговори туку подготвеност за членство.</w:t>
      </w:r>
      <w:proofErr w:type="gramEnd"/>
      <w:r w:rsidRPr="00B83F12">
        <w:rPr>
          <w:rFonts w:asciiTheme="majorHAnsi" w:hAnsiTheme="majorHAnsi" w:cstheme="majorHAnsi"/>
        </w:rPr>
        <w:t xml:space="preserve"> </w:t>
      </w:r>
      <w:proofErr w:type="gramStart"/>
      <w:r w:rsidRPr="00B83F12">
        <w:rPr>
          <w:rFonts w:asciiTheme="majorHAnsi" w:hAnsiTheme="majorHAnsi" w:cstheme="majorHAnsi"/>
        </w:rPr>
        <w:t>Имаме високо ниво на вкупна подготвеност и солидно темпо на напредок во споредба со минатата година.</w:t>
      </w:r>
      <w:proofErr w:type="gramEnd"/>
      <w:r w:rsidRPr="00B83F12">
        <w:rPr>
          <w:rFonts w:asciiTheme="majorHAnsi" w:hAnsiTheme="majorHAnsi" w:cstheme="majorHAnsi"/>
        </w:rPr>
        <w:t xml:space="preserve"> </w:t>
      </w:r>
    </w:p>
    <w:p w14:paraId="6182570E" w14:textId="77777777" w:rsidR="00B83F12" w:rsidRPr="00B83F12" w:rsidRDefault="00B83F12" w:rsidP="00B83F12">
      <w:pPr>
        <w:jc w:val="both"/>
        <w:rPr>
          <w:rFonts w:asciiTheme="majorHAnsi" w:hAnsiTheme="majorHAnsi" w:cstheme="majorHAnsi"/>
        </w:rPr>
      </w:pPr>
    </w:p>
    <w:p w14:paraId="6052A680" w14:textId="77777777" w:rsidR="00B83F12" w:rsidRPr="00B83F12" w:rsidRDefault="00B83F12" w:rsidP="00B83F12">
      <w:pPr>
        <w:jc w:val="both"/>
        <w:rPr>
          <w:rFonts w:asciiTheme="majorHAnsi" w:hAnsiTheme="majorHAnsi" w:cstheme="majorHAnsi"/>
          <w:lang w:val="mk-MK"/>
        </w:rPr>
      </w:pPr>
      <w:r w:rsidRPr="00B83F12">
        <w:rPr>
          <w:rFonts w:asciiTheme="majorHAnsi" w:hAnsiTheme="majorHAnsi" w:cstheme="majorHAnsi"/>
        </w:rPr>
        <w:t xml:space="preserve">Мислам дека од политичките пораки на комесарот Вархеји вчера пред Комитетот АФЕТ, претседателката на Европската комисија Фон дер Лајен, од главните пораки од Стратегијата од Пакетот, генерално кон регионот, јасно е дека е крајно време да се почне пристапниот процес за што самата Европска комисија вели дека овој застој влијае многу негативно врз кредибилитетот или со други зборови се потешко и се верува на Европската Унија во регионот генерално, а посебно во нашата Македонија – Северна Македонија. </w:t>
      </w:r>
    </w:p>
    <w:p w14:paraId="5DCA6459" w14:textId="77777777" w:rsidR="00B83F12" w:rsidRPr="00B83F12" w:rsidRDefault="00B83F12" w:rsidP="00B83F12">
      <w:pPr>
        <w:jc w:val="both"/>
        <w:rPr>
          <w:rFonts w:asciiTheme="majorHAnsi" w:hAnsiTheme="majorHAnsi" w:cstheme="majorHAnsi"/>
        </w:rPr>
      </w:pPr>
    </w:p>
    <w:p w14:paraId="3878A118" w14:textId="77777777" w:rsidR="00B83F12" w:rsidRPr="00B83F12" w:rsidRDefault="00B83F12" w:rsidP="00B83F12">
      <w:pPr>
        <w:jc w:val="both"/>
        <w:rPr>
          <w:rFonts w:asciiTheme="majorHAnsi" w:hAnsiTheme="majorHAnsi" w:cstheme="majorHAnsi"/>
          <w:sz w:val="22"/>
          <w:szCs w:val="22"/>
        </w:rPr>
      </w:pPr>
      <w:proofErr w:type="gramStart"/>
      <w:r w:rsidRPr="00B83F12">
        <w:rPr>
          <w:rFonts w:asciiTheme="majorHAnsi" w:hAnsiTheme="majorHAnsi" w:cstheme="majorHAnsi"/>
        </w:rPr>
        <w:lastRenderedPageBreak/>
        <w:t>Почетокот ќе потврди дека регионот е геостратешки приоритет на Унијата и ќе потврди дека пристапниот процес е процес кој подразбира исполнување на критериумите на членство.</w:t>
      </w:r>
      <w:proofErr w:type="gramEnd"/>
      <w:r w:rsidRPr="00B83F12">
        <w:rPr>
          <w:rFonts w:asciiTheme="majorHAnsi" w:hAnsiTheme="majorHAnsi" w:cstheme="majorHAnsi"/>
        </w:rPr>
        <w:t xml:space="preserve"> Ние во СЕП направивме една првична анализа, во тек е подетална ГАП анализа на целиот извештај по кластери, меѓутоа од оваа првична анализа и компаративна анализа со анализа на извештаи на другите земји, Пакетот за проширување недвосмислено потврдува дека во однос на нивото на подготвеност по кластери, ние имаме најголема подготвеност со средна оценка од 3.02 во областите и поглавјата од </w:t>
      </w:r>
      <w:r w:rsidRPr="00B83F12">
        <w:rPr>
          <w:rFonts w:asciiTheme="majorHAnsi" w:hAnsiTheme="majorHAnsi" w:cstheme="majorHAnsi"/>
          <w:b/>
        </w:rPr>
        <w:t>Кластерот 1 „Темели“</w:t>
      </w:r>
      <w:r w:rsidRPr="00B83F12">
        <w:rPr>
          <w:rFonts w:asciiTheme="majorHAnsi" w:hAnsiTheme="majorHAnsi" w:cstheme="majorHAnsi"/>
        </w:rPr>
        <w:t xml:space="preserve"> или фундаменти дури и во однос на земјите кои веќе преговараат за членство, повеќе години во пристапниот процес - </w:t>
      </w:r>
      <w:r w:rsidRPr="00B83F12">
        <w:rPr>
          <w:rFonts w:asciiTheme="majorHAnsi" w:eastAsia="Times New Roman" w:hAnsiTheme="majorHAnsi" w:cstheme="majorHAnsi"/>
          <w:color w:val="212121"/>
        </w:rPr>
        <w:t xml:space="preserve">Србија со средна оценка 2,68 и Црна Гора со средна оценка 2,83. </w:t>
      </w:r>
      <w:proofErr w:type="gramStart"/>
      <w:r w:rsidRPr="00B83F12">
        <w:rPr>
          <w:rFonts w:asciiTheme="majorHAnsi" w:eastAsia="Times New Roman" w:hAnsiTheme="majorHAnsi" w:cstheme="majorHAnsi"/>
          <w:color w:val="212121"/>
        </w:rPr>
        <w:t>Ова го споменувам не толку за нели сами себе да се фалиме, мислам дека споредливоста на напредокот и вкупната подготвеност токму се направи за да има еден вид реформски натпревар во нашиот регион.</w:t>
      </w:r>
      <w:proofErr w:type="gramEnd"/>
      <w:r w:rsidRPr="00B83F12">
        <w:rPr>
          <w:rFonts w:asciiTheme="majorHAnsi" w:eastAsia="Times New Roman" w:hAnsiTheme="majorHAnsi" w:cstheme="majorHAnsi"/>
          <w:color w:val="212121"/>
        </w:rPr>
        <w:t xml:space="preserve"> </w:t>
      </w:r>
      <w:proofErr w:type="gramStart"/>
      <w:r w:rsidRPr="00B83F12">
        <w:rPr>
          <w:rFonts w:asciiTheme="majorHAnsi" w:eastAsia="Times New Roman" w:hAnsiTheme="majorHAnsi" w:cstheme="majorHAnsi"/>
          <w:color w:val="212121"/>
        </w:rPr>
        <w:t>Овој кластер се отвора прв, се затвора последен и влијае на динамиката на пристапните преговори.</w:t>
      </w:r>
      <w:proofErr w:type="gramEnd"/>
    </w:p>
    <w:p w14:paraId="06C8EBBE" w14:textId="77777777" w:rsidR="00B83F12" w:rsidRPr="00B83F12" w:rsidRDefault="00B83F12" w:rsidP="00B83F12">
      <w:pPr>
        <w:shd w:val="clear" w:color="auto" w:fill="FFFFFF"/>
        <w:jc w:val="both"/>
        <w:rPr>
          <w:rFonts w:asciiTheme="majorHAnsi" w:eastAsia="Times New Roman" w:hAnsiTheme="majorHAnsi" w:cstheme="majorHAnsi"/>
          <w:color w:val="212121"/>
          <w:sz w:val="23"/>
          <w:szCs w:val="23"/>
        </w:rPr>
      </w:pPr>
      <w:r w:rsidRPr="00B83F12">
        <w:rPr>
          <w:rFonts w:asciiTheme="majorHAnsi" w:eastAsia="Times New Roman" w:hAnsiTheme="majorHAnsi" w:cstheme="majorHAnsi"/>
          <w:color w:val="212121"/>
        </w:rPr>
        <w:t> </w:t>
      </w:r>
    </w:p>
    <w:p w14:paraId="65087937" w14:textId="77777777" w:rsidR="00B83F12" w:rsidRPr="00B83F12" w:rsidRDefault="00B83F12" w:rsidP="00B83F12">
      <w:pPr>
        <w:shd w:val="clear" w:color="auto" w:fill="FFFFFF"/>
        <w:jc w:val="both"/>
        <w:rPr>
          <w:rFonts w:asciiTheme="majorHAnsi" w:eastAsia="Times New Roman" w:hAnsiTheme="majorHAnsi" w:cstheme="majorHAnsi"/>
          <w:color w:val="212121"/>
          <w:sz w:val="23"/>
          <w:szCs w:val="23"/>
        </w:rPr>
      </w:pPr>
      <w:r w:rsidRPr="00B83F12">
        <w:rPr>
          <w:rFonts w:asciiTheme="majorHAnsi" w:eastAsia="Times New Roman" w:hAnsiTheme="majorHAnsi" w:cstheme="majorHAnsi"/>
          <w:color w:val="212121"/>
        </w:rPr>
        <w:t>Исто така имаме солидно ниво на подготвеност во </w:t>
      </w:r>
      <w:r w:rsidRPr="00B83F12">
        <w:rPr>
          <w:rFonts w:asciiTheme="majorHAnsi" w:eastAsia="Times New Roman" w:hAnsiTheme="majorHAnsi" w:cstheme="majorHAnsi"/>
          <w:b/>
          <w:bCs/>
          <w:color w:val="212121"/>
        </w:rPr>
        <w:t>Кластерот 3 Конкурентност и инклузивен раст</w:t>
      </w:r>
      <w:r w:rsidRPr="00B83F12">
        <w:rPr>
          <w:rFonts w:asciiTheme="majorHAnsi" w:eastAsia="Times New Roman" w:hAnsiTheme="majorHAnsi" w:cstheme="majorHAnsi"/>
          <w:color w:val="212121"/>
        </w:rPr>
        <w:t> кое на исто рамниште со Црна Гора, кои веќе ги имаат отворено овие поглавја, и со Србија, која доби препорака за отворање на овој Кластер овие поглавја и Кластерот. Оваа констатација за нивото на подготвеност важи и за </w:t>
      </w:r>
      <w:r w:rsidRPr="00B83F12">
        <w:rPr>
          <w:rFonts w:asciiTheme="majorHAnsi" w:eastAsia="Times New Roman" w:hAnsiTheme="majorHAnsi" w:cstheme="majorHAnsi"/>
          <w:b/>
          <w:bCs/>
          <w:color w:val="212121"/>
        </w:rPr>
        <w:t>Кластерот 4 Зелена агенда и одржлива поврзливост</w:t>
      </w:r>
      <w:r w:rsidRPr="00B83F12">
        <w:rPr>
          <w:rFonts w:asciiTheme="majorHAnsi" w:eastAsia="Times New Roman" w:hAnsiTheme="majorHAnsi" w:cstheme="majorHAnsi"/>
          <w:color w:val="212121"/>
        </w:rPr>
        <w:t>, каде сме исто рангирани со Србија, каде Комисијата даде препорака за отворање на овој кластер и со Србија.</w:t>
      </w:r>
    </w:p>
    <w:p w14:paraId="111F1EBB" w14:textId="77777777" w:rsidR="00B83F12" w:rsidRPr="00B83F12" w:rsidRDefault="00B83F12" w:rsidP="00B83F12">
      <w:pPr>
        <w:shd w:val="clear" w:color="auto" w:fill="FFFFFF"/>
        <w:jc w:val="both"/>
        <w:rPr>
          <w:rFonts w:asciiTheme="majorHAnsi" w:eastAsia="Times New Roman" w:hAnsiTheme="majorHAnsi" w:cstheme="majorHAnsi"/>
          <w:color w:val="212121"/>
          <w:sz w:val="23"/>
          <w:szCs w:val="23"/>
        </w:rPr>
      </w:pPr>
      <w:r w:rsidRPr="00B83F12">
        <w:rPr>
          <w:rFonts w:asciiTheme="majorHAnsi" w:eastAsia="Times New Roman" w:hAnsiTheme="majorHAnsi" w:cstheme="majorHAnsi"/>
          <w:color w:val="212121"/>
        </w:rPr>
        <w:t> </w:t>
      </w:r>
    </w:p>
    <w:p w14:paraId="71EAA70D" w14:textId="77777777" w:rsidR="00B83F12" w:rsidRPr="00B83F12" w:rsidRDefault="00B83F12" w:rsidP="00B83F12">
      <w:pPr>
        <w:shd w:val="clear" w:color="auto" w:fill="FFFFFF"/>
        <w:jc w:val="both"/>
        <w:rPr>
          <w:rFonts w:asciiTheme="majorHAnsi" w:eastAsia="Times New Roman" w:hAnsiTheme="majorHAnsi" w:cstheme="majorHAnsi"/>
          <w:color w:val="212121"/>
          <w:sz w:val="23"/>
          <w:szCs w:val="23"/>
        </w:rPr>
      </w:pPr>
      <w:r w:rsidRPr="00B83F12">
        <w:rPr>
          <w:rFonts w:asciiTheme="majorHAnsi" w:eastAsia="Times New Roman" w:hAnsiTheme="majorHAnsi" w:cstheme="majorHAnsi"/>
          <w:bCs/>
          <w:color w:val="212121"/>
        </w:rPr>
        <w:t xml:space="preserve">Кај </w:t>
      </w:r>
      <w:r w:rsidRPr="00B83F12">
        <w:rPr>
          <w:rFonts w:asciiTheme="majorHAnsi" w:eastAsia="Times New Roman" w:hAnsiTheme="majorHAnsi" w:cstheme="majorHAnsi"/>
          <w:b/>
          <w:bCs/>
          <w:color w:val="212121"/>
        </w:rPr>
        <w:t>Кластер 5 Ресурси, земјоделство и кохезија</w:t>
      </w:r>
      <w:r w:rsidRPr="00B83F12">
        <w:rPr>
          <w:rFonts w:asciiTheme="majorHAnsi" w:eastAsia="Times New Roman" w:hAnsiTheme="majorHAnsi" w:cstheme="majorHAnsi"/>
          <w:color w:val="212121"/>
        </w:rPr>
        <w:t>, земјата е повторно прво-рангирана во регионот со средна оценка 2</w:t>
      </w:r>
      <w:proofErr w:type="gramStart"/>
      <w:r w:rsidRPr="00B83F12">
        <w:rPr>
          <w:rFonts w:asciiTheme="majorHAnsi" w:eastAsia="Times New Roman" w:hAnsiTheme="majorHAnsi" w:cstheme="majorHAnsi"/>
          <w:color w:val="212121"/>
        </w:rPr>
        <w:t>,80</w:t>
      </w:r>
      <w:proofErr w:type="gramEnd"/>
      <w:r w:rsidRPr="00B83F12">
        <w:rPr>
          <w:rFonts w:asciiTheme="majorHAnsi" w:eastAsia="Times New Roman" w:hAnsiTheme="majorHAnsi" w:cstheme="majorHAnsi"/>
          <w:color w:val="212121"/>
        </w:rPr>
        <w:t xml:space="preserve">, додека двете земји кои веќе преговараат имаат помала оценка 2,6. </w:t>
      </w:r>
    </w:p>
    <w:p w14:paraId="521783A0" w14:textId="77777777" w:rsidR="00B83F12" w:rsidRPr="00B83F12" w:rsidRDefault="00B83F12" w:rsidP="00B83F12">
      <w:pPr>
        <w:jc w:val="both"/>
        <w:rPr>
          <w:rFonts w:asciiTheme="majorHAnsi" w:hAnsiTheme="majorHAnsi" w:cstheme="majorHAnsi"/>
        </w:rPr>
      </w:pPr>
    </w:p>
    <w:p w14:paraId="6B216C29" w14:textId="77777777" w:rsidR="00B83F12" w:rsidRPr="00B83F12" w:rsidRDefault="00B83F12" w:rsidP="00B83F12">
      <w:pPr>
        <w:jc w:val="both"/>
        <w:rPr>
          <w:rFonts w:asciiTheme="majorHAnsi" w:hAnsiTheme="majorHAnsi" w:cstheme="majorHAnsi"/>
        </w:rPr>
      </w:pPr>
      <w:proofErr w:type="gramStart"/>
      <w:r w:rsidRPr="00B83F12">
        <w:rPr>
          <w:rFonts w:asciiTheme="majorHAnsi" w:hAnsiTheme="majorHAnsi" w:cstheme="majorHAnsi"/>
        </w:rPr>
        <w:t>Од наша гледна точка, формалниот почеток на пристапните преговори ќе биде огромен политички поттик за спроведување на подлабински реформи со забрзана динамика, не само во усогласување со правото на ЕУ, туку и во суштинска имплементација на усвоената легислатива.</w:t>
      </w:r>
      <w:proofErr w:type="gramEnd"/>
      <w:r w:rsidRPr="00B83F12">
        <w:rPr>
          <w:rFonts w:asciiTheme="majorHAnsi" w:hAnsiTheme="majorHAnsi" w:cstheme="majorHAnsi"/>
        </w:rPr>
        <w:t xml:space="preserve"> </w:t>
      </w:r>
    </w:p>
    <w:p w14:paraId="7C3F5554" w14:textId="77777777" w:rsidR="00B83F12" w:rsidRPr="00B83F12" w:rsidRDefault="00B83F12" w:rsidP="00B83F12">
      <w:pPr>
        <w:jc w:val="both"/>
        <w:rPr>
          <w:rFonts w:asciiTheme="majorHAnsi" w:hAnsiTheme="majorHAnsi" w:cstheme="majorHAnsi"/>
        </w:rPr>
      </w:pPr>
    </w:p>
    <w:p w14:paraId="24B98236" w14:textId="77777777" w:rsidR="00B83F12" w:rsidRPr="00B83F12" w:rsidRDefault="00B83F12" w:rsidP="00B83F12">
      <w:pPr>
        <w:jc w:val="both"/>
        <w:rPr>
          <w:rFonts w:asciiTheme="majorHAnsi" w:hAnsiTheme="majorHAnsi" w:cstheme="majorHAnsi"/>
        </w:rPr>
      </w:pPr>
      <w:proofErr w:type="gramStart"/>
      <w:r w:rsidRPr="00B83F12">
        <w:rPr>
          <w:rFonts w:asciiTheme="majorHAnsi" w:hAnsiTheme="majorHAnsi" w:cstheme="majorHAnsi"/>
        </w:rPr>
        <w:t>Ќе се осврнам на главните аспекти од првичната анализа и ќе издвојам неколку елементи за кои веруваме дека ќе бидат од интерес за јавноста.</w:t>
      </w:r>
      <w:proofErr w:type="gramEnd"/>
      <w:r w:rsidRPr="00B83F12">
        <w:rPr>
          <w:rFonts w:asciiTheme="majorHAnsi" w:hAnsiTheme="majorHAnsi" w:cstheme="majorHAnsi"/>
        </w:rPr>
        <w:t xml:space="preserve"> </w:t>
      </w:r>
    </w:p>
    <w:p w14:paraId="7BC50D7B" w14:textId="77777777" w:rsidR="00B83F12" w:rsidRPr="00B83F12" w:rsidRDefault="00B83F12" w:rsidP="00B83F12">
      <w:pPr>
        <w:jc w:val="both"/>
        <w:rPr>
          <w:rFonts w:asciiTheme="majorHAnsi" w:hAnsiTheme="majorHAnsi" w:cstheme="majorHAnsi"/>
        </w:rPr>
      </w:pPr>
      <w:r w:rsidRPr="00B83F12">
        <w:rPr>
          <w:rFonts w:asciiTheme="majorHAnsi" w:hAnsiTheme="majorHAnsi" w:cstheme="majorHAnsi"/>
        </w:rPr>
        <w:t xml:space="preserve"> </w:t>
      </w:r>
    </w:p>
    <w:p w14:paraId="51A32CE8" w14:textId="77777777" w:rsidR="00B83F12" w:rsidRPr="00B83F12" w:rsidRDefault="00B83F12" w:rsidP="00B83F12">
      <w:pPr>
        <w:jc w:val="both"/>
        <w:rPr>
          <w:rFonts w:asciiTheme="majorHAnsi" w:hAnsiTheme="majorHAnsi" w:cstheme="majorHAnsi"/>
          <w:b/>
        </w:rPr>
      </w:pPr>
      <w:proofErr w:type="gramStart"/>
      <w:r w:rsidRPr="00B83F12">
        <w:rPr>
          <w:rFonts w:asciiTheme="majorHAnsi" w:hAnsiTheme="majorHAnsi" w:cstheme="majorHAnsi"/>
          <w:b/>
        </w:rPr>
        <w:t>Оценката за вкупната подготвеност за 2021 година е 3.11 или описно „добро ниво на подготвеност“.</w:t>
      </w:r>
      <w:proofErr w:type="gramEnd"/>
    </w:p>
    <w:p w14:paraId="7BFE989E" w14:textId="77777777" w:rsidR="00B83F12" w:rsidRPr="00B83F12" w:rsidRDefault="00B83F12" w:rsidP="00B83F12">
      <w:pPr>
        <w:jc w:val="both"/>
        <w:rPr>
          <w:rFonts w:asciiTheme="majorHAnsi" w:hAnsiTheme="majorHAnsi" w:cstheme="majorHAnsi"/>
        </w:rPr>
      </w:pPr>
      <w:r w:rsidRPr="00B83F12">
        <w:rPr>
          <w:rFonts w:asciiTheme="majorHAnsi" w:hAnsiTheme="majorHAnsi" w:cstheme="majorHAnsi"/>
        </w:rPr>
        <w:t xml:space="preserve">Од аспект на </w:t>
      </w:r>
      <w:r w:rsidRPr="00B83F12">
        <w:rPr>
          <w:rFonts w:asciiTheme="majorHAnsi" w:hAnsiTheme="majorHAnsi" w:cstheme="majorHAnsi"/>
          <w:b/>
        </w:rPr>
        <w:t>остварениот напредок</w:t>
      </w:r>
      <w:r w:rsidRPr="00B83F12">
        <w:rPr>
          <w:rFonts w:asciiTheme="majorHAnsi" w:hAnsiTheme="majorHAnsi" w:cstheme="majorHAnsi"/>
        </w:rPr>
        <w:t xml:space="preserve">, колку сме поместиле во однос на изминатиот извештај,  задржано е темпото на напредок или има </w:t>
      </w:r>
      <w:r w:rsidRPr="00B83F12">
        <w:rPr>
          <w:rFonts w:asciiTheme="majorHAnsi" w:hAnsiTheme="majorHAnsi" w:cstheme="majorHAnsi"/>
          <w:b/>
        </w:rPr>
        <w:t>подобрување во 29 од вкупно 39 области/поглавја</w:t>
      </w:r>
      <w:r w:rsidRPr="00B83F12">
        <w:rPr>
          <w:rFonts w:asciiTheme="majorHAnsi" w:hAnsiTheme="majorHAnsi" w:cstheme="majorHAnsi"/>
        </w:rPr>
        <w:t xml:space="preserve">, додека во останатите 10 области има помал напредок во однос на напредокот во минатиот извештај споредено со тој претходниот. </w:t>
      </w:r>
    </w:p>
    <w:p w14:paraId="7131EB84" w14:textId="77777777" w:rsidR="00B83F12" w:rsidRPr="00B83F12" w:rsidRDefault="00B83F12" w:rsidP="00B83F12">
      <w:pPr>
        <w:jc w:val="both"/>
        <w:rPr>
          <w:rFonts w:asciiTheme="majorHAnsi" w:hAnsiTheme="majorHAnsi" w:cstheme="majorHAnsi"/>
        </w:rPr>
      </w:pPr>
      <w:proofErr w:type="gramStart"/>
      <w:r w:rsidRPr="00B83F12">
        <w:rPr>
          <w:rFonts w:asciiTheme="majorHAnsi" w:hAnsiTheme="majorHAnsi" w:cstheme="majorHAnsi"/>
          <w:b/>
        </w:rPr>
        <w:lastRenderedPageBreak/>
        <w:t>Од аспект на подготвеноста во 90% од областите имаме делумна или добра подготвеност за членство</w:t>
      </w:r>
      <w:r w:rsidRPr="00B83F12">
        <w:rPr>
          <w:rFonts w:asciiTheme="majorHAnsi" w:hAnsiTheme="majorHAnsi" w:cstheme="majorHAnsi"/>
        </w:rPr>
        <w:t>.</w:t>
      </w:r>
      <w:proofErr w:type="gramEnd"/>
      <w:r w:rsidRPr="00B83F12">
        <w:rPr>
          <w:rFonts w:asciiTheme="majorHAnsi" w:hAnsiTheme="majorHAnsi" w:cstheme="majorHAnsi"/>
        </w:rPr>
        <w:t xml:space="preserve"> </w:t>
      </w:r>
    </w:p>
    <w:p w14:paraId="23252C8D" w14:textId="77777777" w:rsidR="00B83F12" w:rsidRPr="00B83F12" w:rsidRDefault="00B83F12" w:rsidP="00B83F12">
      <w:pPr>
        <w:jc w:val="both"/>
        <w:rPr>
          <w:rFonts w:asciiTheme="majorHAnsi" w:hAnsiTheme="majorHAnsi" w:cstheme="majorHAnsi"/>
        </w:rPr>
      </w:pPr>
    </w:p>
    <w:p w14:paraId="642AF1F7" w14:textId="77777777" w:rsidR="00B83F12" w:rsidRPr="00B83F12" w:rsidRDefault="00B83F12" w:rsidP="00B83F12">
      <w:pPr>
        <w:jc w:val="both"/>
        <w:rPr>
          <w:rFonts w:asciiTheme="majorHAnsi" w:hAnsiTheme="majorHAnsi" w:cstheme="majorHAnsi"/>
        </w:rPr>
      </w:pPr>
      <w:r w:rsidRPr="00B83F12">
        <w:rPr>
          <w:rFonts w:asciiTheme="majorHAnsi" w:hAnsiTheme="majorHAnsi" w:cstheme="majorHAnsi"/>
        </w:rPr>
        <w:t xml:space="preserve">Во делот на </w:t>
      </w:r>
      <w:r w:rsidRPr="00B83F12">
        <w:rPr>
          <w:rFonts w:asciiTheme="majorHAnsi" w:hAnsiTheme="majorHAnsi" w:cstheme="majorHAnsi"/>
          <w:b/>
        </w:rPr>
        <w:t>демократски институции</w:t>
      </w:r>
      <w:r w:rsidRPr="00B83F12">
        <w:rPr>
          <w:rFonts w:asciiTheme="majorHAnsi" w:hAnsiTheme="majorHAnsi" w:cstheme="majorHAnsi"/>
        </w:rPr>
        <w:t xml:space="preserve">, Извештајот посочува дека Собранието ги извршува своите законски надлежности, потребно е да се зајакне надзорната улога и да се спроведе внатрешната реформа согласно договорот во рамките на Жан Моне Дијалогот. Се спомна, амбасадорот Гир ја спомна поларизацијата што секако влијае и на бројот на употреба на брзи процедури, тоа е на некој начин дел од ист проблем, гледан од различни перспективи. </w:t>
      </w:r>
    </w:p>
    <w:p w14:paraId="5E917B47" w14:textId="77777777" w:rsidR="00B83F12" w:rsidRPr="00B83F12" w:rsidRDefault="00B83F12" w:rsidP="00B83F12">
      <w:pPr>
        <w:jc w:val="both"/>
        <w:rPr>
          <w:rFonts w:asciiTheme="majorHAnsi" w:hAnsiTheme="majorHAnsi" w:cstheme="majorHAnsi"/>
        </w:rPr>
      </w:pPr>
    </w:p>
    <w:p w14:paraId="0E3337E0" w14:textId="77777777" w:rsidR="00B83F12" w:rsidRPr="00B83F12" w:rsidRDefault="00B83F12" w:rsidP="00B83F12">
      <w:pPr>
        <w:jc w:val="both"/>
        <w:rPr>
          <w:rFonts w:asciiTheme="majorHAnsi" w:hAnsiTheme="majorHAnsi" w:cstheme="majorHAnsi"/>
        </w:rPr>
      </w:pPr>
      <w:r w:rsidRPr="00B83F12">
        <w:rPr>
          <w:rFonts w:asciiTheme="majorHAnsi" w:hAnsiTheme="majorHAnsi" w:cstheme="majorHAnsi"/>
        </w:rPr>
        <w:t xml:space="preserve">Во делот на </w:t>
      </w:r>
      <w:r w:rsidRPr="00B83F12">
        <w:rPr>
          <w:rFonts w:asciiTheme="majorHAnsi" w:hAnsiTheme="majorHAnsi" w:cstheme="majorHAnsi"/>
          <w:b/>
        </w:rPr>
        <w:t>избори</w:t>
      </w:r>
      <w:r w:rsidRPr="00B83F12">
        <w:rPr>
          <w:rFonts w:asciiTheme="majorHAnsi" w:hAnsiTheme="majorHAnsi" w:cstheme="majorHAnsi"/>
        </w:rPr>
        <w:t xml:space="preserve">, ни останува обврската за сеопфатна ревизија на Изборниот закони – тука ќе се сетат граѓаните дека имаше една работна група со претставници на парламентарните политички партии, ова е легислатива која се донесува традиционално со консензус која не успеа да наиде на таков консензус согласност од сите страни, за да се изврши да се вклучат сите препораки од ОБСЕ/ОДИХР во нашето законодавство, таа обврска останува. </w:t>
      </w:r>
    </w:p>
    <w:p w14:paraId="5DF3411F" w14:textId="77777777" w:rsidR="00B83F12" w:rsidRPr="00B83F12" w:rsidRDefault="00B83F12" w:rsidP="00B83F12">
      <w:pPr>
        <w:jc w:val="both"/>
        <w:rPr>
          <w:rFonts w:asciiTheme="majorHAnsi" w:hAnsiTheme="majorHAnsi" w:cstheme="majorHAnsi"/>
        </w:rPr>
      </w:pPr>
      <w:proofErr w:type="gramStart"/>
      <w:r w:rsidRPr="00B83F12">
        <w:rPr>
          <w:rFonts w:asciiTheme="majorHAnsi" w:hAnsiTheme="majorHAnsi" w:cstheme="majorHAnsi"/>
        </w:rPr>
        <w:t>Позитивно се оценува проактивноста во соработката со граѓанскиот сектор кој функционира во една овозможувачка средина, со укажување на потребата да се гради долгорочен партнерски однос меѓу Владата и граѓанските организации.</w:t>
      </w:r>
      <w:proofErr w:type="gramEnd"/>
      <w:r w:rsidRPr="00B83F12">
        <w:rPr>
          <w:rFonts w:asciiTheme="majorHAnsi" w:hAnsiTheme="majorHAnsi" w:cstheme="majorHAnsi"/>
        </w:rPr>
        <w:t xml:space="preserve"> </w:t>
      </w:r>
    </w:p>
    <w:p w14:paraId="58163DAB" w14:textId="77777777" w:rsidR="00B83F12" w:rsidRPr="00B83F12" w:rsidRDefault="00B83F12" w:rsidP="00B83F12">
      <w:pPr>
        <w:jc w:val="both"/>
        <w:rPr>
          <w:rFonts w:asciiTheme="majorHAnsi" w:hAnsiTheme="majorHAnsi" w:cstheme="majorHAnsi"/>
        </w:rPr>
      </w:pPr>
    </w:p>
    <w:p w14:paraId="6848A92D" w14:textId="77777777" w:rsidR="00B83F12" w:rsidRPr="00B83F12" w:rsidRDefault="00B83F12" w:rsidP="00B83F12">
      <w:pPr>
        <w:jc w:val="both"/>
        <w:rPr>
          <w:rFonts w:asciiTheme="majorHAnsi" w:hAnsiTheme="majorHAnsi" w:cstheme="majorHAnsi"/>
        </w:rPr>
      </w:pPr>
      <w:proofErr w:type="gramStart"/>
      <w:r w:rsidRPr="00B83F12">
        <w:rPr>
          <w:rFonts w:asciiTheme="majorHAnsi" w:hAnsiTheme="majorHAnsi" w:cstheme="majorHAnsi"/>
        </w:rPr>
        <w:t xml:space="preserve">Во однос на </w:t>
      </w:r>
      <w:r w:rsidRPr="00B83F12">
        <w:rPr>
          <w:rFonts w:asciiTheme="majorHAnsi" w:hAnsiTheme="majorHAnsi" w:cstheme="majorHAnsi"/>
          <w:b/>
        </w:rPr>
        <w:t>судските реформи</w:t>
      </w:r>
      <w:r w:rsidRPr="00B83F12">
        <w:rPr>
          <w:rFonts w:asciiTheme="majorHAnsi" w:hAnsiTheme="majorHAnsi" w:cstheme="majorHAnsi"/>
        </w:rPr>
        <w:t>, се нотира континуираното спроведување на Стратегијата за судски реформи, а особено важна е констатацијата дека се применуваат новите правила за назначување, унапредување, дисциплинска одговорност и разрешување на судии.</w:t>
      </w:r>
      <w:proofErr w:type="gramEnd"/>
      <w:r w:rsidRPr="00B83F12">
        <w:rPr>
          <w:rFonts w:asciiTheme="majorHAnsi" w:hAnsiTheme="majorHAnsi" w:cstheme="majorHAnsi"/>
        </w:rPr>
        <w:t xml:space="preserve"> </w:t>
      </w:r>
      <w:proofErr w:type="gramStart"/>
      <w:r w:rsidRPr="00B83F12">
        <w:rPr>
          <w:rFonts w:asciiTheme="majorHAnsi" w:hAnsiTheme="majorHAnsi" w:cstheme="majorHAnsi"/>
        </w:rPr>
        <w:t>Сепак, Европската комисија истакнува дека се потребни натамошни напори за да се обезбеди систематско спроведување на ажурираниот акциски план за Стратегијата за реформи во правосудството и Стратегијата за човечки ресурси за судство и обвинителство.</w:t>
      </w:r>
      <w:proofErr w:type="gramEnd"/>
    </w:p>
    <w:p w14:paraId="468F1E4E" w14:textId="77777777" w:rsidR="00B83F12" w:rsidRPr="00B83F12" w:rsidRDefault="00B83F12" w:rsidP="00B83F12">
      <w:pPr>
        <w:jc w:val="both"/>
        <w:rPr>
          <w:rFonts w:asciiTheme="majorHAnsi" w:hAnsiTheme="majorHAnsi" w:cstheme="majorHAnsi"/>
        </w:rPr>
      </w:pPr>
    </w:p>
    <w:p w14:paraId="7B8A72F2" w14:textId="77777777" w:rsidR="00B83F12" w:rsidRPr="00B83F12" w:rsidRDefault="00B83F12" w:rsidP="00B83F12">
      <w:pPr>
        <w:jc w:val="both"/>
        <w:rPr>
          <w:rFonts w:asciiTheme="majorHAnsi" w:hAnsiTheme="majorHAnsi" w:cstheme="majorHAnsi"/>
        </w:rPr>
      </w:pPr>
      <w:proofErr w:type="gramStart"/>
      <w:r w:rsidRPr="00B83F12">
        <w:rPr>
          <w:rFonts w:asciiTheme="majorHAnsi" w:hAnsiTheme="majorHAnsi" w:cstheme="majorHAnsi"/>
          <w:b/>
        </w:rPr>
        <w:t>Борбата против корупцијата</w:t>
      </w:r>
      <w:r w:rsidRPr="00B83F12">
        <w:rPr>
          <w:rFonts w:asciiTheme="majorHAnsi" w:hAnsiTheme="majorHAnsi" w:cstheme="majorHAnsi"/>
        </w:rPr>
        <w:t xml:space="preserve"> е еден од најголемите предизвици со кои се соочуваме, бара консолидиран и систематски пристап.</w:t>
      </w:r>
      <w:proofErr w:type="gramEnd"/>
      <w:r w:rsidRPr="00B83F12">
        <w:rPr>
          <w:rFonts w:asciiTheme="majorHAnsi" w:hAnsiTheme="majorHAnsi" w:cstheme="majorHAnsi"/>
        </w:rPr>
        <w:t xml:space="preserve"> </w:t>
      </w:r>
      <w:proofErr w:type="gramStart"/>
      <w:r w:rsidRPr="00B83F12">
        <w:rPr>
          <w:rFonts w:asciiTheme="majorHAnsi" w:hAnsiTheme="majorHAnsi" w:cstheme="majorHAnsi"/>
        </w:rPr>
        <w:t>Во оваа насока, Комисијата го поздравува донесувањето на Националната стратегија за спречување на корупцијата и судирот на интерес како клучен стратешки документ во борбата против корупцијата.</w:t>
      </w:r>
      <w:proofErr w:type="gramEnd"/>
      <w:r w:rsidRPr="00B83F12">
        <w:rPr>
          <w:rFonts w:asciiTheme="majorHAnsi" w:hAnsiTheme="majorHAnsi" w:cstheme="majorHAnsi"/>
        </w:rPr>
        <w:t xml:space="preserve"> </w:t>
      </w:r>
      <w:proofErr w:type="gramStart"/>
      <w:r w:rsidRPr="00B83F12">
        <w:rPr>
          <w:rFonts w:asciiTheme="majorHAnsi" w:hAnsiTheme="majorHAnsi" w:cstheme="majorHAnsi"/>
        </w:rPr>
        <w:t>Се нотира и напредокот во водењето на судските постапки за корупција од висок профил, особено пресудите во постапките покренати од поранешното Специјално јавно обвинителство.</w:t>
      </w:r>
      <w:proofErr w:type="gramEnd"/>
      <w:r w:rsidRPr="00B83F12">
        <w:rPr>
          <w:rFonts w:asciiTheme="majorHAnsi" w:hAnsiTheme="majorHAnsi" w:cstheme="majorHAnsi"/>
        </w:rPr>
        <w:t xml:space="preserve"> </w:t>
      </w:r>
    </w:p>
    <w:p w14:paraId="09689B3D" w14:textId="77777777" w:rsidR="00B83F12" w:rsidRPr="00B83F12" w:rsidRDefault="00B83F12" w:rsidP="00B83F12">
      <w:pPr>
        <w:jc w:val="both"/>
        <w:rPr>
          <w:rFonts w:asciiTheme="majorHAnsi" w:hAnsiTheme="majorHAnsi" w:cstheme="majorHAnsi"/>
        </w:rPr>
      </w:pPr>
    </w:p>
    <w:p w14:paraId="0D18273D" w14:textId="77777777" w:rsidR="00B83F12" w:rsidRPr="00B83F12" w:rsidRDefault="00B83F12" w:rsidP="00B83F12">
      <w:pPr>
        <w:jc w:val="both"/>
        <w:rPr>
          <w:rFonts w:asciiTheme="majorHAnsi" w:hAnsiTheme="majorHAnsi" w:cstheme="majorHAnsi"/>
        </w:rPr>
      </w:pPr>
      <w:r w:rsidRPr="00B83F12">
        <w:rPr>
          <w:rFonts w:asciiTheme="majorHAnsi" w:hAnsiTheme="majorHAnsi" w:cstheme="majorHAnsi"/>
        </w:rPr>
        <w:t xml:space="preserve">Во делот на </w:t>
      </w:r>
      <w:r w:rsidRPr="00B83F12">
        <w:rPr>
          <w:rFonts w:asciiTheme="majorHAnsi" w:hAnsiTheme="majorHAnsi" w:cstheme="majorHAnsi"/>
          <w:b/>
        </w:rPr>
        <w:t>човекови права</w:t>
      </w:r>
      <w:r w:rsidRPr="00B83F12">
        <w:rPr>
          <w:rFonts w:asciiTheme="majorHAnsi" w:hAnsiTheme="majorHAnsi" w:cstheme="majorHAnsi"/>
        </w:rPr>
        <w:t xml:space="preserve"> имаме значаен напредок, пред сѐ, со донесувањето Законот за заштита од дискриминација и Законот за заштита и спречување на насилство врз жените и домашно насилство, напредокот во процесот на деинституционализација и во зајакнувањето на родовите аспекти и правата на жените при креирањето политики.</w:t>
      </w:r>
    </w:p>
    <w:p w14:paraId="72A60BD9" w14:textId="77777777" w:rsidR="00B83F12" w:rsidRPr="00B83F12" w:rsidRDefault="00B83F12" w:rsidP="00B83F12">
      <w:pPr>
        <w:jc w:val="both"/>
        <w:rPr>
          <w:rFonts w:asciiTheme="majorHAnsi" w:hAnsiTheme="majorHAnsi" w:cstheme="majorHAnsi"/>
        </w:rPr>
      </w:pPr>
    </w:p>
    <w:p w14:paraId="672188FA" w14:textId="77777777" w:rsidR="00B83F12" w:rsidRPr="00B83F12" w:rsidRDefault="00B83F12" w:rsidP="00B83F12">
      <w:pPr>
        <w:jc w:val="both"/>
        <w:rPr>
          <w:rFonts w:asciiTheme="majorHAnsi" w:hAnsiTheme="majorHAnsi" w:cstheme="majorHAnsi"/>
        </w:rPr>
      </w:pPr>
      <w:r w:rsidRPr="00B83F12">
        <w:rPr>
          <w:rFonts w:asciiTheme="majorHAnsi" w:hAnsiTheme="majorHAnsi" w:cstheme="majorHAnsi"/>
        </w:rPr>
        <w:lastRenderedPageBreak/>
        <w:t xml:space="preserve">Во делот на </w:t>
      </w:r>
      <w:r w:rsidRPr="00B83F12">
        <w:rPr>
          <w:rFonts w:asciiTheme="majorHAnsi" w:hAnsiTheme="majorHAnsi" w:cstheme="majorHAnsi"/>
          <w:b/>
        </w:rPr>
        <w:t>слобода на изразување и слободата на медиуми</w:t>
      </w:r>
      <w:r w:rsidRPr="00B83F12">
        <w:rPr>
          <w:rFonts w:asciiTheme="majorHAnsi" w:hAnsiTheme="majorHAnsi" w:cstheme="majorHAnsi"/>
        </w:rPr>
        <w:t xml:space="preserve">, амбасадорот Гир напомена неколку препораки и констатации од Извештајот – клучна оценка е дека медиумите имаат соодветна средина за работа која обезбедува критичко новинарство, меѓутоа има уште многу што да се направи, спомената е потребата од реформирање на националниот радиодифузен сервис, тука постои обид со сегашните правила да се обезбеди изборот на новите членови на двата совета, Собранието го распиша огласот и тука некаде застана целата работа, мислам дека вреди да се направи тој напор, ќе биде добро за целата држава. </w:t>
      </w:r>
    </w:p>
    <w:p w14:paraId="0C90D67C" w14:textId="77777777" w:rsidR="00B83F12" w:rsidRPr="00B83F12" w:rsidRDefault="00B83F12" w:rsidP="00B83F12">
      <w:pPr>
        <w:jc w:val="both"/>
        <w:rPr>
          <w:rFonts w:asciiTheme="majorHAnsi" w:hAnsiTheme="majorHAnsi" w:cstheme="majorHAnsi"/>
        </w:rPr>
      </w:pPr>
    </w:p>
    <w:p w14:paraId="2B810999" w14:textId="77777777" w:rsidR="00B83F12" w:rsidRPr="00B83F12" w:rsidRDefault="00B83F12" w:rsidP="00B83F12">
      <w:pPr>
        <w:jc w:val="both"/>
        <w:rPr>
          <w:rFonts w:asciiTheme="majorHAnsi" w:hAnsiTheme="majorHAnsi" w:cstheme="majorHAnsi"/>
        </w:rPr>
      </w:pPr>
      <w:proofErr w:type="gramStart"/>
      <w:r w:rsidRPr="00B83F12">
        <w:rPr>
          <w:rFonts w:asciiTheme="majorHAnsi" w:hAnsiTheme="majorHAnsi" w:cstheme="majorHAnsi"/>
        </w:rPr>
        <w:t>За реформата на</w:t>
      </w:r>
      <w:r w:rsidRPr="00B83F12">
        <w:rPr>
          <w:rFonts w:asciiTheme="majorHAnsi" w:hAnsiTheme="majorHAnsi" w:cstheme="majorHAnsi"/>
          <w:b/>
        </w:rPr>
        <w:t xml:space="preserve"> јавната администрација</w:t>
      </w:r>
      <w:r w:rsidRPr="00B83F12">
        <w:rPr>
          <w:rFonts w:asciiTheme="majorHAnsi" w:hAnsiTheme="majorHAnsi" w:cstheme="majorHAnsi"/>
        </w:rPr>
        <w:t>, се посочува на тековната ревизија на законската рамка за управување со човечки ресурси, чие донесување ќе обезбеди соодветна примена на принципот на заслуги при вработувањето - мерит, унапредување на административните службеници, и на високо раководно ниво.</w:t>
      </w:r>
      <w:proofErr w:type="gramEnd"/>
      <w:r w:rsidRPr="00B83F12">
        <w:rPr>
          <w:rFonts w:asciiTheme="majorHAnsi" w:hAnsiTheme="majorHAnsi" w:cstheme="majorHAnsi"/>
        </w:rPr>
        <w:t xml:space="preserve"> </w:t>
      </w:r>
      <w:proofErr w:type="gramStart"/>
      <w:r w:rsidRPr="00B83F12">
        <w:rPr>
          <w:rFonts w:asciiTheme="majorHAnsi" w:hAnsiTheme="majorHAnsi" w:cstheme="majorHAnsi"/>
        </w:rPr>
        <w:t>Финализирањето на хоризонталната функционална анализа и реорганизацијата на државната администрација се посочени како важни приоритети чија имплементација ќе ја подобри одговорноста на органите на државната управа.</w:t>
      </w:r>
      <w:proofErr w:type="gramEnd"/>
    </w:p>
    <w:p w14:paraId="1059EF0D" w14:textId="77777777" w:rsidR="00B83F12" w:rsidRPr="00B83F12" w:rsidRDefault="00B83F12" w:rsidP="00B83F12">
      <w:pPr>
        <w:jc w:val="both"/>
        <w:rPr>
          <w:rFonts w:asciiTheme="majorHAnsi" w:hAnsiTheme="majorHAnsi" w:cstheme="majorHAnsi"/>
        </w:rPr>
      </w:pPr>
    </w:p>
    <w:p w14:paraId="65348F9A" w14:textId="77777777" w:rsidR="00B83F12" w:rsidRPr="00B83F12" w:rsidRDefault="00B83F12" w:rsidP="00B83F12">
      <w:pPr>
        <w:autoSpaceDE w:val="0"/>
        <w:autoSpaceDN w:val="0"/>
        <w:adjustRightInd w:val="0"/>
        <w:jc w:val="both"/>
        <w:rPr>
          <w:rFonts w:asciiTheme="majorHAnsi" w:hAnsiTheme="majorHAnsi" w:cstheme="majorHAnsi"/>
        </w:rPr>
      </w:pPr>
      <w:proofErr w:type="gramStart"/>
      <w:r w:rsidRPr="00B83F12">
        <w:rPr>
          <w:rFonts w:asciiTheme="majorHAnsi" w:hAnsiTheme="majorHAnsi" w:cstheme="majorHAnsi"/>
        </w:rPr>
        <w:t xml:space="preserve">Кај </w:t>
      </w:r>
      <w:r w:rsidRPr="00B83F12">
        <w:rPr>
          <w:rFonts w:asciiTheme="majorHAnsi" w:hAnsiTheme="majorHAnsi" w:cstheme="majorHAnsi"/>
          <w:b/>
        </w:rPr>
        <w:t>економските критериуми</w:t>
      </w:r>
      <w:r w:rsidRPr="00B83F12">
        <w:rPr>
          <w:rFonts w:asciiTheme="majorHAnsi" w:hAnsiTheme="majorHAnsi" w:cstheme="majorHAnsi"/>
        </w:rPr>
        <w:t>, Комисијата оценува дека Северна Македонија има добро ниво на подготвеност во развојот на функционална пазарна економија.</w:t>
      </w:r>
      <w:proofErr w:type="gramEnd"/>
      <w:r w:rsidRPr="00B83F12">
        <w:rPr>
          <w:rFonts w:asciiTheme="majorHAnsi" w:hAnsiTheme="majorHAnsi" w:cstheme="majorHAnsi"/>
        </w:rPr>
        <w:t xml:space="preserve"> Овде имаме подобрување во споредба со минатата година, што е потврда дека економските политики се движат во правилна насока и покрај економските предизвици кои произлегуваат од пандемијата и коишто резултираа со поголемо оптоварување на Буџетот. Се укажува на потребата од зголемување на фискалната транспарентност и фискалното управување со донесување на новиот Законот за буџети којшто е во собраниска процедура и тука е направиме добро ако го усвоиме новиот закон за буџети. </w:t>
      </w:r>
    </w:p>
    <w:p w14:paraId="2C75E488" w14:textId="77777777" w:rsidR="00B83F12" w:rsidRPr="00B83F12" w:rsidRDefault="00B83F12" w:rsidP="00B83F12">
      <w:pPr>
        <w:jc w:val="both"/>
        <w:rPr>
          <w:rFonts w:asciiTheme="majorHAnsi" w:hAnsiTheme="majorHAnsi" w:cstheme="majorHAnsi"/>
        </w:rPr>
      </w:pPr>
    </w:p>
    <w:p w14:paraId="41CD0A3A" w14:textId="77777777" w:rsidR="00B83F12" w:rsidRPr="00B83F12" w:rsidRDefault="00B83F12" w:rsidP="00B83F12">
      <w:pPr>
        <w:jc w:val="both"/>
        <w:rPr>
          <w:rFonts w:asciiTheme="majorHAnsi" w:hAnsiTheme="majorHAnsi" w:cstheme="majorHAnsi"/>
        </w:rPr>
      </w:pPr>
      <w:proofErr w:type="gramStart"/>
      <w:r w:rsidRPr="00B83F12">
        <w:rPr>
          <w:rFonts w:asciiTheme="majorHAnsi" w:hAnsiTheme="majorHAnsi" w:cstheme="majorHAnsi"/>
        </w:rPr>
        <w:t>Нашата оценка е дека, како и вообичаено, Комисијата дава објективен пресек на состојбите и напредокот во реформите, ги идентификува областите каде треба да ги зголемиме напорите и да испорачаме повеќе резултати.</w:t>
      </w:r>
      <w:proofErr w:type="gramEnd"/>
      <w:r w:rsidRPr="00B83F12">
        <w:rPr>
          <w:rFonts w:asciiTheme="majorHAnsi" w:hAnsiTheme="majorHAnsi" w:cstheme="majorHAnsi"/>
        </w:rPr>
        <w:t xml:space="preserve"> </w:t>
      </w:r>
      <w:proofErr w:type="gramStart"/>
      <w:r w:rsidRPr="00B83F12">
        <w:rPr>
          <w:rFonts w:asciiTheme="majorHAnsi" w:hAnsiTheme="majorHAnsi" w:cstheme="majorHAnsi"/>
        </w:rPr>
        <w:t>Извештајот ќе биде основа за ажурирање на реформската агенда - Агенда Европа со нови мерки и активности и на тој начин да обезбедиме поголем фокус во реформските активности.</w:t>
      </w:r>
      <w:proofErr w:type="gramEnd"/>
      <w:r w:rsidRPr="00B83F12">
        <w:rPr>
          <w:rFonts w:asciiTheme="majorHAnsi" w:hAnsiTheme="majorHAnsi" w:cstheme="majorHAnsi"/>
        </w:rPr>
        <w:t xml:space="preserve"> </w:t>
      </w:r>
      <w:proofErr w:type="gramStart"/>
      <w:r w:rsidRPr="00B83F12">
        <w:rPr>
          <w:rFonts w:asciiTheme="majorHAnsi" w:hAnsiTheme="majorHAnsi" w:cstheme="majorHAnsi"/>
        </w:rPr>
        <w:t>Покажавме дека не бегаме и не се плашиме од предизвици во однос на стриктно исполнување на копенхашките критериуми.</w:t>
      </w:r>
      <w:proofErr w:type="gramEnd"/>
      <w:r w:rsidRPr="00B83F12">
        <w:rPr>
          <w:rFonts w:asciiTheme="majorHAnsi" w:hAnsiTheme="majorHAnsi" w:cstheme="majorHAnsi"/>
        </w:rPr>
        <w:t xml:space="preserve"> </w:t>
      </w:r>
    </w:p>
    <w:p w14:paraId="720E1E38" w14:textId="77777777" w:rsidR="00B83F12" w:rsidRPr="00B83F12" w:rsidRDefault="00B83F12" w:rsidP="00B83F12">
      <w:pPr>
        <w:jc w:val="both"/>
        <w:rPr>
          <w:rFonts w:asciiTheme="majorHAnsi" w:hAnsiTheme="majorHAnsi" w:cstheme="majorHAnsi"/>
        </w:rPr>
      </w:pPr>
      <w:r w:rsidRPr="00B83F12">
        <w:rPr>
          <w:rFonts w:asciiTheme="majorHAnsi" w:hAnsiTheme="majorHAnsi" w:cstheme="majorHAnsi"/>
        </w:rPr>
        <w:t xml:space="preserve">Ако Брдо, дел од состаноците на маргините, дел од јавните изјави, покажа дека и земјите членки коишто имаат многу стриктен ригиден пристап кон исполнувањето на копенхашките критериуми сметаат дека сме апсолутно подготвени да ги почнеме пристапните преговори, сега Комисијата покрај потврдата од минатата година, со нова потврда дека е конечно време да започне овој процес. </w:t>
      </w:r>
    </w:p>
    <w:p w14:paraId="22AA51AB" w14:textId="77777777" w:rsidR="00B83F12" w:rsidRPr="00B83F12" w:rsidRDefault="00B83F12" w:rsidP="00B83F12">
      <w:pPr>
        <w:jc w:val="both"/>
        <w:rPr>
          <w:rFonts w:asciiTheme="majorHAnsi" w:hAnsiTheme="majorHAnsi" w:cstheme="majorHAnsi"/>
        </w:rPr>
      </w:pPr>
    </w:p>
    <w:p w14:paraId="23092599" w14:textId="4F25D9A2" w:rsidR="007A78B3" w:rsidRPr="00B83F12" w:rsidRDefault="00B83F12" w:rsidP="00B83F12">
      <w:pPr>
        <w:jc w:val="both"/>
        <w:rPr>
          <w:rFonts w:asciiTheme="majorHAnsi" w:hAnsiTheme="majorHAnsi" w:cstheme="majorHAnsi"/>
          <w:lang w:val="mk-MK"/>
        </w:rPr>
      </w:pPr>
      <w:proofErr w:type="gramStart"/>
      <w:r w:rsidRPr="00B83F12">
        <w:rPr>
          <w:rFonts w:asciiTheme="majorHAnsi" w:hAnsiTheme="majorHAnsi" w:cstheme="majorHAnsi"/>
        </w:rPr>
        <w:t>Јас тука ќе застанам за да имаме повеќ</w:t>
      </w:r>
      <w:r>
        <w:rPr>
          <w:rFonts w:asciiTheme="majorHAnsi" w:hAnsiTheme="majorHAnsi" w:cstheme="majorHAnsi"/>
        </w:rPr>
        <w:t>е време за прашања, благодарам.</w:t>
      </w:r>
      <w:bookmarkStart w:id="0" w:name="_GoBack"/>
      <w:bookmarkEnd w:id="0"/>
      <w:proofErr w:type="gramEnd"/>
    </w:p>
    <w:sectPr w:rsidR="007A78B3" w:rsidRPr="00B83F12" w:rsidSect="007A78B3">
      <w:headerReference w:type="default" r:id="rId7"/>
      <w:pgSz w:w="11900" w:h="16840"/>
      <w:pgMar w:top="3119"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CCF86" w14:textId="77777777" w:rsidR="00334E38" w:rsidRDefault="00334E38" w:rsidP="00D82EE9">
      <w:r>
        <w:separator/>
      </w:r>
    </w:p>
  </w:endnote>
  <w:endnote w:type="continuationSeparator" w:id="0">
    <w:p w14:paraId="778C300D" w14:textId="77777777" w:rsidR="00334E38" w:rsidRDefault="00334E38" w:rsidP="00D8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CC415" w14:textId="77777777" w:rsidR="00334E38" w:rsidRDefault="00334E38" w:rsidP="00D82EE9">
      <w:r>
        <w:separator/>
      </w:r>
    </w:p>
  </w:footnote>
  <w:footnote w:type="continuationSeparator" w:id="0">
    <w:p w14:paraId="2F2E713C" w14:textId="77777777" w:rsidR="00334E38" w:rsidRDefault="00334E38" w:rsidP="00D82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33044" w14:textId="7183514D" w:rsidR="00D82EE9" w:rsidRPr="0086711E" w:rsidRDefault="0086711E">
    <w:pPr>
      <w:pStyle w:val="Header"/>
      <w:rPr>
        <w:lang w:val="mk-MK"/>
      </w:rPr>
    </w:pPr>
    <w:r>
      <w:rPr>
        <w:noProof/>
      </w:rPr>
      <w:drawing>
        <wp:anchor distT="0" distB="0" distL="114300" distR="114300" simplePos="0" relativeHeight="251658240" behindDoc="1" locked="0" layoutInCell="1" allowOverlap="1" wp14:anchorId="55D2EB56" wp14:editId="293F2B27">
          <wp:simplePos x="0" y="0"/>
          <wp:positionH relativeFrom="page">
            <wp:align>right</wp:align>
          </wp:positionH>
          <wp:positionV relativeFrom="paragraph">
            <wp:posOffset>-488315</wp:posOffset>
          </wp:positionV>
          <wp:extent cx="7620000" cy="10728366"/>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еморандум-01.png"/>
                  <pic:cNvPicPr/>
                </pic:nvPicPr>
                <pic:blipFill>
                  <a:blip r:embed="rId1">
                    <a:extLst>
                      <a:ext uri="{28A0092B-C50C-407E-A947-70E740481C1C}">
                        <a14:useLocalDpi xmlns:a14="http://schemas.microsoft.com/office/drawing/2010/main" val="0"/>
                      </a:ext>
                    </a:extLst>
                  </a:blip>
                  <a:stretch>
                    <a:fillRect/>
                  </a:stretch>
                </pic:blipFill>
                <pic:spPr>
                  <a:xfrm>
                    <a:off x="0" y="0"/>
                    <a:ext cx="7620000" cy="1072836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E9"/>
    <w:rsid w:val="00233E06"/>
    <w:rsid w:val="002C0966"/>
    <w:rsid w:val="00334E38"/>
    <w:rsid w:val="003635DA"/>
    <w:rsid w:val="00394BE2"/>
    <w:rsid w:val="005B1E57"/>
    <w:rsid w:val="005C0D92"/>
    <w:rsid w:val="006A38B0"/>
    <w:rsid w:val="007333D7"/>
    <w:rsid w:val="007A78B3"/>
    <w:rsid w:val="0086711E"/>
    <w:rsid w:val="00930110"/>
    <w:rsid w:val="0095600B"/>
    <w:rsid w:val="00970358"/>
    <w:rsid w:val="00B83F12"/>
    <w:rsid w:val="00D82EE9"/>
    <w:rsid w:val="00F2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9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Teano Kardula</dc:creator>
  <cp:lastModifiedBy>Leposava Ognjanoska</cp:lastModifiedBy>
  <cp:revision>2</cp:revision>
  <cp:lastPrinted>2021-06-14T12:10:00Z</cp:lastPrinted>
  <dcterms:created xsi:type="dcterms:W3CDTF">2021-10-20T11:17:00Z</dcterms:created>
  <dcterms:modified xsi:type="dcterms:W3CDTF">2021-10-20T11:17:00Z</dcterms:modified>
</cp:coreProperties>
</file>