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A0" w:rsidRDefault="005E4C45">
      <w:pPr>
        <w:spacing w:before="0" w:after="0"/>
        <w:ind w:right="-29"/>
        <w:jc w:val="center"/>
        <w:outlineLvl w:val="0"/>
        <w:rPr>
          <w:rFonts w:ascii="Times New Roman" w:hAnsi="Times New Roman" w:cs="Times New Roman"/>
          <w:b/>
          <w:u w:val="single"/>
        </w:rPr>
      </w:pPr>
      <w:bookmarkStart w:id="0" w:name="annex15"/>
      <w:r>
        <w:rPr>
          <w:rFonts w:ascii="Times New Roman" w:eastAsia="Calibri" w:hAnsi="Times New Roman" w:cs="Times New Roman"/>
          <w:noProof/>
          <w:lang w:val="en-US" w:eastAsia="en-US"/>
        </w:rPr>
        <w:drawing>
          <wp:inline distT="0" distB="0" distL="0" distR="0">
            <wp:extent cx="2115185" cy="1534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5185" cy="1534795"/>
                    </a:xfrm>
                    <a:prstGeom prst="rect">
                      <a:avLst/>
                    </a:prstGeom>
                    <a:noFill/>
                    <a:ln>
                      <a:noFill/>
                    </a:ln>
                  </pic:spPr>
                </pic:pic>
              </a:graphicData>
            </a:graphic>
          </wp:inline>
        </w:drawing>
      </w:r>
    </w:p>
    <w:p w:rsidR="00252DA0" w:rsidRPr="00FE258A" w:rsidRDefault="005E4C45">
      <w:pPr>
        <w:ind w:right="-29"/>
        <w:jc w:val="center"/>
        <w:outlineLvl w:val="0"/>
        <w:rPr>
          <w:rFonts w:ascii="Arial" w:hAnsi="Arial" w:cs="Arial"/>
          <w:b/>
          <w:smallCaps/>
          <w:spacing w:val="30"/>
          <w:sz w:val="36"/>
        </w:rPr>
      </w:pPr>
      <w:r w:rsidRPr="00FE258A">
        <w:rPr>
          <w:rFonts w:ascii="Arial" w:hAnsi="Arial" w:cs="Arial"/>
          <w:b/>
          <w:smallCaps/>
          <w:spacing w:val="14"/>
          <w:sz w:val="36"/>
        </w:rPr>
        <w:t>Instrument for Pre-accession Assistance (IPA II)</w:t>
      </w:r>
      <w:r w:rsidRPr="00FE258A">
        <w:rPr>
          <w:rFonts w:ascii="Arial" w:hAnsi="Arial" w:cs="Arial"/>
          <w:b/>
          <w:smallCaps/>
          <w:spacing w:val="30"/>
          <w:sz w:val="36"/>
        </w:rPr>
        <w:br/>
        <w:t>2014-2020</w:t>
      </w:r>
    </w:p>
    <w:p w:rsidR="00252DA0" w:rsidRDefault="005E4C45">
      <w:pPr>
        <w:autoSpaceDE w:val="0"/>
        <w:autoSpaceDN w:val="0"/>
        <w:adjustRightInd w:val="0"/>
        <w:spacing w:before="0" w:after="0"/>
        <w:rPr>
          <w:rFonts w:ascii="Times New Roman" w:hAnsi="Times New Roman" w:cs="Times New Roman"/>
          <w:bCs/>
        </w:rPr>
      </w:pPr>
      <w:r>
        <w:rPr>
          <w:rFonts w:ascii="Times New Roman" w:hAnsi="Times New Roman" w:cs="Times New Roman"/>
          <w:bCs/>
        </w:rPr>
        <w:br/>
      </w:r>
    </w:p>
    <w:p w:rsidR="00252DA0" w:rsidRDefault="005E4C45">
      <w:pPr>
        <w:autoSpaceDE w:val="0"/>
        <w:autoSpaceDN w:val="0"/>
        <w:adjustRightInd w:val="0"/>
        <w:spacing w:before="0" w:after="0"/>
        <w:rPr>
          <w:rFonts w:ascii="Times New Roman" w:hAnsi="Times New Roman" w:cs="Times New Roman"/>
          <w:bCs/>
        </w:rPr>
      </w:pPr>
      <w:r>
        <w:rPr>
          <w:rFonts w:ascii="Times New Roman" w:hAnsi="Times New Roman" w:cs="Times New Roman"/>
          <w:noProof/>
          <w:lang w:val="en-US" w:eastAsia="en-US"/>
        </w:rPr>
        <w:drawing>
          <wp:anchor distT="0" distB="0" distL="114300" distR="114300" simplePos="0" relativeHeight="251658243" behindDoc="0" locked="0" layoutInCell="1" allowOverlap="1">
            <wp:simplePos x="0" y="0"/>
            <wp:positionH relativeFrom="column">
              <wp:posOffset>3009265</wp:posOffset>
            </wp:positionH>
            <wp:positionV relativeFrom="paragraph">
              <wp:posOffset>40640</wp:posOffset>
            </wp:positionV>
            <wp:extent cx="2948305" cy="2939415"/>
            <wp:effectExtent l="0" t="0" r="4445" b="0"/>
            <wp:wrapTopAndBottom/>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8305" cy="2939415"/>
                    </a:xfrm>
                    <a:prstGeom prst="rect">
                      <a:avLst/>
                    </a:prstGeom>
                    <a:noFill/>
                    <a:ln>
                      <a:noFill/>
                    </a:ln>
                  </pic:spPr>
                </pic:pic>
              </a:graphicData>
            </a:graphic>
          </wp:anchor>
        </w:drawing>
      </w:r>
      <w:bookmarkStart w:id="1" w:name="_GoBack"/>
      <w:bookmarkEnd w:id="1"/>
      <w:r w:rsidR="00E2283E" w:rsidRPr="00E2283E">
        <w:rPr>
          <w:rFonts w:ascii="Times New Roman" w:hAnsi="Times New Roman" w:cs="Times New Roman"/>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pt;margin-top:11.55pt;width:274.45pt;height:236.1pt;z-index:25165824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iZ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" filled="f" stroked="f">
            <v:textbox>
              <w:txbxContent>
                <w:p w:rsidR="00FB0112" w:rsidRDefault="00FB0112">
                  <w:pPr>
                    <w:jc w:val="left"/>
                    <w:rPr>
                      <w:rFonts w:ascii="Arial" w:hAnsi="Arial" w:cs="Arial"/>
                      <w:b/>
                      <w:smallCaps/>
                      <w:color w:val="FFFFFF"/>
                      <w:sz w:val="44"/>
                    </w:rPr>
                  </w:pPr>
                  <w:r>
                    <w:rPr>
                      <w:rFonts w:ascii="Arial" w:hAnsi="Arial" w:cs="Arial"/>
                      <w:b/>
                      <w:smallCaps/>
                      <w:color w:val="FFFFFF"/>
                      <w:sz w:val="44"/>
                    </w:rPr>
                    <w:br/>
                  </w:r>
                  <w:r w:rsidR="00B123BA" w:rsidRPr="00B123BA">
                    <w:rPr>
                      <w:rFonts w:ascii="Arial" w:hAnsi="Arial" w:cs="Arial"/>
                      <w:b/>
                      <w:smallCaps/>
                      <w:color w:val="FFFFFF"/>
                      <w:sz w:val="44"/>
                    </w:rPr>
                    <w:t>Republic of Macedonia</w:t>
                  </w:r>
                </w:p>
                <w:p w:rsidR="00FB0112" w:rsidRDefault="0034414D">
                  <w:pPr>
                    <w:spacing w:before="0" w:after="0"/>
                    <w:jc w:val="left"/>
                    <w:rPr>
                      <w:rFonts w:ascii="Arial" w:hAnsi="Arial" w:cs="Arial"/>
                      <w:color w:val="FFFFFF"/>
                      <w:sz w:val="40"/>
                      <w:szCs w:val="40"/>
                    </w:rPr>
                  </w:pPr>
                  <w:r>
                    <w:rPr>
                      <w:rFonts w:ascii="Arial" w:hAnsi="Arial" w:cs="Arial"/>
                      <w:color w:val="FFFFFF"/>
                      <w:sz w:val="40"/>
                      <w:szCs w:val="40"/>
                    </w:rPr>
                    <w:t xml:space="preserve">EU </w:t>
                  </w:r>
                  <w:r w:rsidR="00FB0112">
                    <w:rPr>
                      <w:rFonts w:ascii="Arial" w:hAnsi="Arial" w:cs="Arial"/>
                      <w:color w:val="FFFFFF"/>
                      <w:sz w:val="40"/>
                      <w:szCs w:val="40"/>
                    </w:rPr>
                    <w:t>support to Public Administration Reform &amp; Statistics</w:t>
                  </w:r>
                </w:p>
              </w:txbxContent>
            </v:textbox>
          </v:shape>
        </w:pict>
      </w:r>
      <w:r w:rsidR="00E2283E" w:rsidRPr="00E2283E">
        <w:rPr>
          <w:rFonts w:ascii="Times New Roman" w:hAnsi="Times New Roman" w:cs="Times New Roman"/>
          <w:bCs/>
          <w:i/>
          <w:noProof/>
          <w:lang w:eastAsia="en-GB"/>
        </w:rPr>
        <w:pict>
          <v:rect id="Rectangle 2" o:spid="_x0000_s1028" style="position:absolute;left:0;text-align:left;margin-left:-134.55pt;margin-top:11.55pt;width:675.75pt;height:236.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" fillcolor="#09064a"/>
        </w:pict>
      </w:r>
    </w:p>
    <w:p w:rsidR="00252DA0" w:rsidRDefault="00252DA0">
      <w:pPr>
        <w:autoSpaceDE w:val="0"/>
        <w:autoSpaceDN w:val="0"/>
        <w:adjustRightInd w:val="0"/>
        <w:spacing w:before="0" w:after="0"/>
        <w:ind w:left="5040"/>
        <w:rPr>
          <w:rFonts w:ascii="Times New Roman" w:hAnsi="Times New Roman" w:cs="Times New Roman"/>
          <w:bCs/>
        </w:rPr>
      </w:pPr>
    </w:p>
    <w:p w:rsidR="00252DA0" w:rsidRDefault="00252DA0">
      <w:pPr>
        <w:autoSpaceDE w:val="0"/>
        <w:autoSpaceDN w:val="0"/>
        <w:adjustRightInd w:val="0"/>
        <w:spacing w:before="0" w:after="0"/>
        <w:jc w:val="center"/>
        <w:rPr>
          <w:rFonts w:ascii="Times New Roman" w:hAnsi="Times New Roman" w:cs="Times New Roman"/>
          <w:bCs/>
          <w:i/>
        </w:rPr>
      </w:pPr>
    </w:p>
    <w:p w:rsidR="00252DA0" w:rsidRDefault="00E2283E">
      <w:pPr>
        <w:autoSpaceDE w:val="0"/>
        <w:autoSpaceDN w:val="0"/>
        <w:adjustRightInd w:val="0"/>
        <w:spacing w:before="0" w:after="0"/>
        <w:ind w:left="5040"/>
        <w:rPr>
          <w:rFonts w:ascii="Times New Roman" w:hAnsi="Times New Roman" w:cs="Times New Roman"/>
          <w:b/>
          <w:bCs/>
          <w:smallCaps/>
        </w:rPr>
      </w:pPr>
      <w:r w:rsidRPr="00E2283E">
        <w:rPr>
          <w:rFonts w:ascii="Times New Roman" w:hAnsi="Times New Roman" w:cs="Times New Roman"/>
          <w:b/>
          <w:bCs/>
          <w:smallCaps/>
          <w:noProof/>
          <w:lang w:eastAsia="en-GB"/>
        </w:rPr>
        <w:pict>
          <v:shape id="_x0000_s1027" type="#_x0000_t202" style="position:absolute;left:0;text-align:left;margin-left:108.9pt;margin-top:8.8pt;width:370.55pt;height:255.5pt;z-index:-25165823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">
            <o:lock v:ext="edit" aspectratio="t"/>
            <v:textbox>
              <w:txbxContent>
                <w:p w:rsidR="00FB0112" w:rsidRPr="00085D5E" w:rsidRDefault="00FB0112">
                  <w:pPr>
                    <w:jc w:val="left"/>
                    <w:rPr>
                      <w:rFonts w:ascii="Arial" w:hAnsi="Arial" w:cs="Arial"/>
                      <w:b/>
                      <w:sz w:val="20"/>
                      <w:szCs w:val="20"/>
                    </w:rPr>
                  </w:pPr>
                  <w:r w:rsidRPr="00085D5E">
                    <w:rPr>
                      <w:rFonts w:ascii="Arial" w:hAnsi="Arial" w:cs="Arial"/>
                      <w:b/>
                      <w:sz w:val="20"/>
                      <w:szCs w:val="20"/>
                    </w:rPr>
                    <w:t>Action summary</w:t>
                  </w:r>
                </w:p>
                <w:p w:rsidR="00FB0112" w:rsidRPr="00AC2900" w:rsidRDefault="00FB0112">
                  <w:pPr>
                    <w:spacing w:before="0"/>
                    <w:rPr>
                      <w:rFonts w:ascii="Arial" w:hAnsi="Arial" w:cs="Arial"/>
                      <w:i/>
                      <w:sz w:val="20"/>
                      <w:szCs w:val="20"/>
                    </w:rPr>
                  </w:pPr>
                  <w:r w:rsidRPr="00AC2900">
                    <w:rPr>
                      <w:rFonts w:ascii="Arial" w:hAnsi="Arial" w:cs="Arial"/>
                      <w:i/>
                      <w:sz w:val="20"/>
                      <w:szCs w:val="20"/>
                    </w:rPr>
                    <w:t xml:space="preserve">The Action supports the implementation of the Public Administration Reform Strategy, and the Strategic Development Plan of the State Statistical Office (SSO). </w:t>
                  </w:r>
                  <w:r w:rsidRPr="00AC2900">
                    <w:rPr>
                      <w:rFonts w:ascii="Arial" w:hAnsi="Arial" w:cs="Arial"/>
                      <w:i/>
                      <w:sz w:val="20"/>
                    </w:rPr>
                    <w:t>It is expected to have significant impact on the reforms in all sectors as defined in the country Indicative Strategy Paper.</w:t>
                  </w:r>
                </w:p>
                <w:p w:rsidR="00FB0112" w:rsidRPr="00085D5E" w:rsidRDefault="00FB0112" w:rsidP="0065332F">
                  <w:pPr>
                    <w:spacing w:before="0"/>
                    <w:rPr>
                      <w:rFonts w:ascii="Arial" w:hAnsi="Arial" w:cs="Arial"/>
                      <w:i/>
                      <w:sz w:val="20"/>
                      <w:szCs w:val="20"/>
                    </w:rPr>
                  </w:pPr>
                  <w:r w:rsidRPr="00AC2900">
                    <w:rPr>
                      <w:rFonts w:ascii="Arial" w:hAnsi="Arial" w:cs="Arial"/>
                      <w:i/>
                      <w:sz w:val="20"/>
                      <w:szCs w:val="20"/>
                    </w:rPr>
                    <w:t xml:space="preserve">The Action will significantly improve the implementation of the Principles of Public Administration, will strengthen the efficiency, effectiveness and capacities of public institutions and will enhance the transparency and accountability in the whole public sector. It entails a major reorganisation of state bodies and inspection services and a reform in the system of discretionary powers. The action will introduce transparency standards, </w:t>
                  </w:r>
                  <w:r w:rsidRPr="00AC2900">
                    <w:rPr>
                      <w:rFonts w:ascii="Arial" w:hAnsi="Arial" w:cs="Arial"/>
                      <w:i/>
                      <w:sz w:val="20"/>
                      <w:szCs w:val="20"/>
                      <w:lang w:val="en-US" w:eastAsia="en-GB"/>
                    </w:rPr>
                    <w:t xml:space="preserve">functioning whistleblowing framework and </w:t>
                  </w:r>
                  <w:r w:rsidRPr="00AC2900">
                    <w:rPr>
                      <w:rFonts w:ascii="Arial" w:hAnsi="Arial" w:cs="Arial"/>
                      <w:i/>
                      <w:sz w:val="20"/>
                      <w:szCs w:val="20"/>
                    </w:rPr>
                    <w:t>will promote ethics and integrity. Furthermore, this Action invests in e-Government: it will improve the public services for citizens and business by establishing one-stop-shop and electronic circuit for issuing a number of documents, and will enhance the access to public information. The e-government platform will be further upgraded with a mechanism for measurement the quality and timeliness of the services and the performance of the civil servants. Significant support will be also destined to improve quality and availability of statistics in all sector</w:t>
                  </w:r>
                  <w:r w:rsidRPr="008634EE">
                    <w:rPr>
                      <w:rFonts w:ascii="Arial" w:hAnsi="Arial" w:cs="Arial"/>
                      <w:i/>
                      <w:sz w:val="20"/>
                      <w:szCs w:val="20"/>
                    </w:rPr>
                    <w:t>s with a primary focus on</w:t>
                  </w:r>
                  <w:r>
                    <w:rPr>
                      <w:rFonts w:ascii="Arial" w:hAnsi="Arial" w:cs="Arial"/>
                      <w:i/>
                      <w:sz w:val="20"/>
                      <w:szCs w:val="20"/>
                    </w:rPr>
                    <w:t xml:space="preserve"> national accounts and Excessive Deficit Procedure</w:t>
                  </w:r>
                  <w:r w:rsidRPr="008634EE">
                    <w:rPr>
                      <w:rFonts w:ascii="Arial" w:hAnsi="Arial" w:cs="Arial"/>
                      <w:i/>
                      <w:sz w:val="20"/>
                      <w:szCs w:val="20"/>
                    </w:rPr>
                    <w:t>.</w:t>
                  </w:r>
                </w:p>
              </w:txbxContent>
            </v:textbox>
          </v:shape>
        </w:pict>
      </w:r>
    </w:p>
    <w:p w:rsidR="00252DA0" w:rsidRDefault="00252DA0">
      <w:pPr>
        <w:autoSpaceDE w:val="0"/>
        <w:autoSpaceDN w:val="0"/>
        <w:adjustRightInd w:val="0"/>
        <w:spacing w:before="0" w:after="0"/>
        <w:ind w:left="5040"/>
        <w:rPr>
          <w:rFonts w:ascii="Times New Roman" w:hAnsi="Times New Roman" w:cs="Times New Roman"/>
          <w:b/>
          <w:bCs/>
          <w:smallCaps/>
        </w:rPr>
      </w:pPr>
    </w:p>
    <w:p w:rsidR="00252DA0" w:rsidRDefault="00252DA0">
      <w:pPr>
        <w:autoSpaceDE w:val="0"/>
        <w:autoSpaceDN w:val="0"/>
        <w:adjustRightInd w:val="0"/>
        <w:spacing w:before="0" w:after="0"/>
        <w:ind w:left="2160"/>
        <w:rPr>
          <w:rFonts w:ascii="Times New Roman" w:hAnsi="Times New Roman" w:cs="Times New Roman"/>
          <w:b/>
          <w:bCs/>
          <w:smallCaps/>
        </w:rPr>
      </w:pPr>
    </w:p>
    <w:p w:rsidR="00252DA0" w:rsidRDefault="005E4C45">
      <w:pPr>
        <w:autoSpaceDE w:val="0"/>
        <w:autoSpaceDN w:val="0"/>
        <w:adjustRightInd w:val="0"/>
        <w:rPr>
          <w:rFonts w:ascii="Times New Roman" w:hAnsi="Times New Roman" w:cs="Times New Roman"/>
          <w:bCs/>
        </w:rPr>
      </w:pPr>
      <w:r>
        <w:rPr>
          <w:rFonts w:ascii="Times New Roman" w:hAnsi="Times New Roman" w:cs="Times New Roman"/>
          <w:b/>
          <w:bCs/>
          <w:smallCaps/>
        </w:rPr>
        <w:br w:type="column"/>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
        <w:gridCol w:w="2732"/>
        <w:gridCol w:w="2613"/>
        <w:gridCol w:w="1275"/>
        <w:gridCol w:w="1276"/>
        <w:gridCol w:w="1420"/>
      </w:tblGrid>
      <w:tr w:rsidR="00252DA0">
        <w:trPr>
          <w:gridBefore w:val="1"/>
          <w:wBefore w:w="6" w:type="dxa"/>
        </w:trPr>
        <w:tc>
          <w:tcPr>
            <w:tcW w:w="9316" w:type="dxa"/>
            <w:gridSpan w:val="5"/>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center"/>
              <w:rPr>
                <w:rFonts w:ascii="Times New Roman" w:hAnsi="Times New Roman" w:cs="Times New Roman"/>
                <w:bCs/>
                <w:i/>
              </w:rPr>
            </w:pPr>
            <w:r w:rsidRPr="0092695A">
              <w:rPr>
                <w:rFonts w:ascii="Times New Roman" w:hAnsi="Times New Roman" w:cs="Times New Roman"/>
                <w:b/>
                <w:bCs/>
              </w:rPr>
              <w:t>Action Identification</w:t>
            </w:r>
          </w:p>
        </w:tc>
      </w:tr>
      <w:tr w:rsidR="00252DA0">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Action Programme Title</w:t>
            </w:r>
          </w:p>
        </w:tc>
        <w:tc>
          <w:tcPr>
            <w:tcW w:w="6584" w:type="dxa"/>
            <w:gridSpan w:val="4"/>
          </w:tcPr>
          <w:p w:rsidR="00252DA0" w:rsidRPr="0092695A" w:rsidRDefault="005E4C45">
            <w:pPr>
              <w:pStyle w:val="NormalWeb"/>
              <w:spacing w:before="60" w:beforeAutospacing="0" w:after="60" w:afterAutospacing="0"/>
              <w:rPr>
                <w:sz w:val="22"/>
                <w:szCs w:val="22"/>
              </w:rPr>
            </w:pPr>
            <w:r w:rsidRPr="0092695A">
              <w:rPr>
                <w:sz w:val="22"/>
                <w:szCs w:val="22"/>
              </w:rPr>
              <w:t xml:space="preserve">Annual Action Programme for the </w:t>
            </w:r>
            <w:r w:rsidR="00B123BA" w:rsidRPr="00B123BA">
              <w:rPr>
                <w:b/>
                <w:sz w:val="22"/>
                <w:szCs w:val="22"/>
              </w:rPr>
              <w:t>Republic of Macedonia</w:t>
            </w:r>
            <w:r w:rsidR="004D07D5" w:rsidRPr="0092695A">
              <w:rPr>
                <w:sz w:val="22"/>
                <w:szCs w:val="22"/>
              </w:rPr>
              <w:t xml:space="preserve"> for the year 2017</w:t>
            </w:r>
          </w:p>
        </w:tc>
      </w:tr>
      <w:tr w:rsidR="00252DA0">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Action Title</w:t>
            </w:r>
          </w:p>
        </w:tc>
        <w:tc>
          <w:tcPr>
            <w:tcW w:w="6584" w:type="dxa"/>
            <w:gridSpan w:val="4"/>
          </w:tcPr>
          <w:p w:rsidR="00252DA0" w:rsidRPr="0092695A" w:rsidRDefault="0034414D" w:rsidP="00815155">
            <w:pPr>
              <w:autoSpaceDE w:val="0"/>
              <w:autoSpaceDN w:val="0"/>
              <w:adjustRightInd w:val="0"/>
              <w:spacing w:before="60" w:after="60"/>
              <w:jc w:val="left"/>
              <w:rPr>
                <w:rFonts w:ascii="Times New Roman" w:hAnsi="Times New Roman" w:cs="Times New Roman"/>
              </w:rPr>
            </w:pPr>
            <w:r>
              <w:rPr>
                <w:rFonts w:ascii="Times New Roman" w:hAnsi="Times New Roman" w:cs="Times New Roman"/>
              </w:rPr>
              <w:t>EU</w:t>
            </w:r>
            <w:r w:rsidR="005A414A" w:rsidRPr="0092695A">
              <w:rPr>
                <w:rFonts w:ascii="Times New Roman" w:hAnsi="Times New Roman" w:cs="Times New Roman"/>
              </w:rPr>
              <w:t xml:space="preserve">support </w:t>
            </w:r>
            <w:r w:rsidR="005E4C45" w:rsidRPr="0092695A">
              <w:rPr>
                <w:rFonts w:ascii="Times New Roman" w:hAnsi="Times New Roman" w:cs="Times New Roman"/>
              </w:rPr>
              <w:t xml:space="preserve">to </w:t>
            </w:r>
            <w:r w:rsidR="004B3FD0" w:rsidRPr="0092695A">
              <w:rPr>
                <w:rFonts w:ascii="Times New Roman" w:hAnsi="Times New Roman" w:cs="Times New Roman"/>
              </w:rPr>
              <w:t>Public Administration Reform and Statistics</w:t>
            </w:r>
          </w:p>
        </w:tc>
      </w:tr>
      <w:tr w:rsidR="00252DA0" w:rsidTr="00FE258A">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Action ID</w:t>
            </w:r>
          </w:p>
        </w:tc>
        <w:tc>
          <w:tcPr>
            <w:tcW w:w="6584" w:type="dxa"/>
            <w:gridSpan w:val="4"/>
            <w:shd w:val="clear" w:color="auto" w:fill="auto"/>
          </w:tcPr>
          <w:p w:rsidR="00252DA0" w:rsidRPr="0092695A" w:rsidRDefault="005E4C45">
            <w:pPr>
              <w:autoSpaceDE w:val="0"/>
              <w:autoSpaceDN w:val="0"/>
              <w:adjustRightInd w:val="0"/>
              <w:spacing w:before="60" w:after="60"/>
              <w:jc w:val="left"/>
              <w:rPr>
                <w:rFonts w:ascii="Times New Roman" w:hAnsi="Times New Roman" w:cs="Times New Roman"/>
              </w:rPr>
            </w:pPr>
            <w:r w:rsidRPr="001300DC">
              <w:rPr>
                <w:rFonts w:ascii="Times New Roman" w:hAnsi="Times New Roman" w:cs="Times New Roman"/>
                <w:i/>
                <w:shd w:val="clear" w:color="auto" w:fill="D9D9D9"/>
              </w:rPr>
              <w:t>IPA 2017/040-200/01.03/MK/PARS</w:t>
            </w:r>
          </w:p>
        </w:tc>
      </w:tr>
      <w:tr w:rsidR="00252DA0">
        <w:tblPrEx>
          <w:tblLook w:val="04A0"/>
        </w:tblPrEx>
        <w:trPr>
          <w:gridBefore w:val="1"/>
          <w:wBefore w:w="6" w:type="dxa"/>
        </w:trPr>
        <w:tc>
          <w:tcPr>
            <w:tcW w:w="9316" w:type="dxa"/>
            <w:gridSpan w:val="5"/>
          </w:tcPr>
          <w:p w:rsidR="00252DA0" w:rsidRPr="0092695A" w:rsidRDefault="005E4C45">
            <w:pPr>
              <w:autoSpaceDE w:val="0"/>
              <w:autoSpaceDN w:val="0"/>
              <w:adjustRightInd w:val="0"/>
              <w:spacing w:before="60" w:after="60"/>
              <w:jc w:val="center"/>
              <w:rPr>
                <w:rFonts w:ascii="Times New Roman" w:hAnsi="Times New Roman" w:cs="Times New Roman"/>
                <w:b/>
                <w:bCs/>
              </w:rPr>
            </w:pPr>
            <w:r w:rsidRPr="0092695A">
              <w:rPr>
                <w:rFonts w:ascii="Times New Roman" w:hAnsi="Times New Roman" w:cs="Times New Roman"/>
                <w:b/>
                <w:bCs/>
              </w:rPr>
              <w:t>Sector Information</w:t>
            </w:r>
          </w:p>
        </w:tc>
      </w:tr>
      <w:tr w:rsidR="00252DA0">
        <w:tblPrEx>
          <w:tblLook w:val="04A0"/>
        </w:tblPrEx>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IPA II Sector</w:t>
            </w:r>
          </w:p>
        </w:tc>
        <w:tc>
          <w:tcPr>
            <w:tcW w:w="6584" w:type="dxa"/>
            <w:gridSpan w:val="4"/>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Democracy and governance</w:t>
            </w:r>
          </w:p>
        </w:tc>
      </w:tr>
      <w:tr w:rsidR="00252DA0">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DAC Sector</w:t>
            </w:r>
          </w:p>
        </w:tc>
        <w:tc>
          <w:tcPr>
            <w:tcW w:w="6584" w:type="dxa"/>
            <w:gridSpan w:val="4"/>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 xml:space="preserve">15110 </w:t>
            </w:r>
            <w:hyperlink r:id="rId13" w:history="1">
              <w:r w:rsidRPr="0092695A">
                <w:rPr>
                  <w:rStyle w:val="Hyperlink"/>
                  <w:rFonts w:ascii="Times New Roman" w:hAnsi="Times New Roman"/>
                  <w:color w:val="auto"/>
                  <w:u w:val="none"/>
                </w:rPr>
                <w:t>Public sector policy and administrative management</w:t>
              </w:r>
            </w:hyperlink>
          </w:p>
        </w:tc>
      </w:tr>
      <w:tr w:rsidR="00252DA0">
        <w:trPr>
          <w:gridBefore w:val="1"/>
          <w:wBefore w:w="6" w:type="dxa"/>
        </w:trPr>
        <w:tc>
          <w:tcPr>
            <w:tcW w:w="9316" w:type="dxa"/>
            <w:gridSpan w:val="5"/>
          </w:tcPr>
          <w:p w:rsidR="00252DA0" w:rsidRPr="0092695A" w:rsidRDefault="005E4C45">
            <w:pPr>
              <w:autoSpaceDE w:val="0"/>
              <w:autoSpaceDN w:val="0"/>
              <w:adjustRightInd w:val="0"/>
              <w:spacing w:before="60" w:after="60"/>
              <w:jc w:val="center"/>
              <w:rPr>
                <w:rFonts w:ascii="Times New Roman" w:hAnsi="Times New Roman" w:cs="Times New Roman"/>
                <w:b/>
                <w:bCs/>
              </w:rPr>
            </w:pPr>
            <w:r w:rsidRPr="0092695A">
              <w:rPr>
                <w:rFonts w:ascii="Times New Roman" w:hAnsi="Times New Roman" w:cs="Times New Roman"/>
                <w:b/>
                <w:bCs/>
              </w:rPr>
              <w:t>Budget</w:t>
            </w:r>
          </w:p>
        </w:tc>
      </w:tr>
      <w:tr w:rsidR="00252DA0">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 xml:space="preserve">Total cost </w:t>
            </w:r>
          </w:p>
        </w:tc>
        <w:tc>
          <w:tcPr>
            <w:tcW w:w="6584" w:type="dxa"/>
            <w:gridSpan w:val="4"/>
          </w:tcPr>
          <w:p w:rsidR="00252DA0" w:rsidRPr="0092695A" w:rsidRDefault="00FA34B0" w:rsidP="00DE104F">
            <w:pPr>
              <w:rPr>
                <w:rFonts w:ascii="Times New Roman" w:hAnsi="Times New Roman" w:cs="Times New Roman"/>
              </w:rPr>
            </w:pPr>
            <w:r w:rsidRPr="0092695A">
              <w:rPr>
                <w:rFonts w:ascii="Times New Roman" w:hAnsi="Times New Roman" w:cs="Times New Roman"/>
              </w:rPr>
              <w:t xml:space="preserve">EUR </w:t>
            </w:r>
            <w:r w:rsidR="005E4C45" w:rsidRPr="0092695A">
              <w:rPr>
                <w:rFonts w:ascii="Times New Roman" w:hAnsi="Times New Roman" w:cs="Times New Roman"/>
              </w:rPr>
              <w:t>11,</w:t>
            </w:r>
            <w:r w:rsidR="00DE104F" w:rsidRPr="0092695A">
              <w:rPr>
                <w:rFonts w:ascii="Times New Roman" w:hAnsi="Times New Roman" w:cs="Times New Roman"/>
              </w:rPr>
              <w:t>457</w:t>
            </w:r>
            <w:r w:rsidR="005E4C45" w:rsidRPr="0092695A">
              <w:rPr>
                <w:rFonts w:ascii="Times New Roman" w:hAnsi="Times New Roman" w:cs="Times New Roman"/>
              </w:rPr>
              <w:t>,000</w:t>
            </w:r>
          </w:p>
        </w:tc>
      </w:tr>
      <w:tr w:rsidR="00252DA0">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EU contribution</w:t>
            </w:r>
          </w:p>
        </w:tc>
        <w:tc>
          <w:tcPr>
            <w:tcW w:w="6584" w:type="dxa"/>
            <w:gridSpan w:val="4"/>
          </w:tcPr>
          <w:p w:rsidR="00252DA0" w:rsidRPr="0092695A" w:rsidRDefault="00FA34B0" w:rsidP="00DE104F">
            <w:pPr>
              <w:spacing w:before="60" w:after="60"/>
              <w:rPr>
                <w:rFonts w:ascii="Times New Roman" w:hAnsi="Times New Roman" w:cs="Times New Roman"/>
              </w:rPr>
            </w:pPr>
            <w:r w:rsidRPr="0092695A">
              <w:rPr>
                <w:rFonts w:ascii="Times New Roman" w:hAnsi="Times New Roman" w:cs="Times New Roman"/>
              </w:rPr>
              <w:t xml:space="preserve">EUR </w:t>
            </w:r>
            <w:r w:rsidR="005E4C45" w:rsidRPr="0092695A">
              <w:rPr>
                <w:rFonts w:ascii="Times New Roman" w:hAnsi="Times New Roman" w:cs="Times New Roman"/>
              </w:rPr>
              <w:t>11,</w:t>
            </w:r>
            <w:r w:rsidR="00DE104F" w:rsidRPr="0092695A">
              <w:rPr>
                <w:rFonts w:ascii="Times New Roman" w:hAnsi="Times New Roman" w:cs="Times New Roman"/>
              </w:rPr>
              <w:t>200</w:t>
            </w:r>
            <w:r w:rsidR="005E4C45" w:rsidRPr="0092695A">
              <w:rPr>
                <w:rFonts w:ascii="Times New Roman" w:hAnsi="Times New Roman" w:cs="Times New Roman"/>
              </w:rPr>
              <w:t xml:space="preserve">,000  </w:t>
            </w:r>
          </w:p>
        </w:tc>
      </w:tr>
      <w:tr w:rsidR="00252DA0">
        <w:trPr>
          <w:gridBefore w:val="1"/>
          <w:wBefore w:w="6" w:type="dxa"/>
        </w:trPr>
        <w:tc>
          <w:tcPr>
            <w:tcW w:w="2732" w:type="dxa"/>
          </w:tcPr>
          <w:p w:rsidR="00252DA0" w:rsidRPr="0092695A" w:rsidRDefault="005E4C45">
            <w:pPr>
              <w:autoSpaceDE w:val="0"/>
              <w:autoSpaceDN w:val="0"/>
              <w:adjustRightInd w:val="0"/>
              <w:spacing w:before="60" w:after="60"/>
              <w:rPr>
                <w:rFonts w:ascii="Times New Roman" w:hAnsi="Times New Roman" w:cs="Times New Roman"/>
                <w:b/>
                <w:bCs/>
              </w:rPr>
            </w:pPr>
            <w:r w:rsidRPr="0092695A">
              <w:rPr>
                <w:rFonts w:ascii="Times New Roman" w:hAnsi="Times New Roman" w:cs="Times New Roman"/>
                <w:b/>
                <w:bCs/>
              </w:rPr>
              <w:t>Budget line(s)</w:t>
            </w:r>
          </w:p>
        </w:tc>
        <w:tc>
          <w:tcPr>
            <w:tcW w:w="6584" w:type="dxa"/>
            <w:gridSpan w:val="4"/>
          </w:tcPr>
          <w:p w:rsidR="00252DA0" w:rsidRPr="0092695A" w:rsidRDefault="005E4C45">
            <w:pPr>
              <w:rPr>
                <w:rFonts w:ascii="Times New Roman" w:hAnsi="Times New Roman" w:cs="Times New Roman"/>
                <w:b/>
                <w:bCs/>
              </w:rPr>
            </w:pPr>
            <w:r w:rsidRPr="0092695A">
              <w:rPr>
                <w:rFonts w:ascii="Times New Roman" w:hAnsi="Times New Roman" w:cs="Times New Roman"/>
                <w:b/>
              </w:rPr>
              <w:t>22.02.01.01</w:t>
            </w:r>
          </w:p>
        </w:tc>
      </w:tr>
      <w:tr w:rsidR="00252DA0">
        <w:trPr>
          <w:gridBefore w:val="1"/>
          <w:wBefore w:w="6" w:type="dxa"/>
        </w:trPr>
        <w:tc>
          <w:tcPr>
            <w:tcW w:w="9316" w:type="dxa"/>
            <w:gridSpan w:val="5"/>
          </w:tcPr>
          <w:p w:rsidR="00252DA0" w:rsidRPr="0092695A" w:rsidRDefault="005E4C45">
            <w:pPr>
              <w:tabs>
                <w:tab w:val="left" w:pos="3975"/>
              </w:tabs>
              <w:autoSpaceDE w:val="0"/>
              <w:autoSpaceDN w:val="0"/>
              <w:adjustRightInd w:val="0"/>
              <w:spacing w:before="60" w:after="60"/>
              <w:jc w:val="center"/>
              <w:rPr>
                <w:rFonts w:ascii="Times New Roman" w:hAnsi="Times New Roman" w:cs="Times New Roman"/>
                <w:b/>
                <w:bCs/>
              </w:rPr>
            </w:pPr>
            <w:r w:rsidRPr="0092695A">
              <w:rPr>
                <w:rFonts w:ascii="Times New Roman" w:hAnsi="Times New Roman" w:cs="Times New Roman"/>
                <w:b/>
                <w:bCs/>
              </w:rPr>
              <w:t>Management and Implementation</w:t>
            </w:r>
          </w:p>
        </w:tc>
      </w:tr>
      <w:tr w:rsidR="00252DA0">
        <w:trPr>
          <w:gridBefore w:val="1"/>
          <w:wBefore w:w="6" w:type="dxa"/>
        </w:trPr>
        <w:tc>
          <w:tcPr>
            <w:tcW w:w="2732" w:type="dxa"/>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Management mode</w:t>
            </w:r>
          </w:p>
        </w:tc>
        <w:tc>
          <w:tcPr>
            <w:tcW w:w="6584" w:type="dxa"/>
            <w:gridSpan w:val="4"/>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Direct management</w:t>
            </w:r>
          </w:p>
        </w:tc>
      </w:tr>
      <w:tr w:rsidR="00252DA0">
        <w:trPr>
          <w:gridBefore w:val="1"/>
          <w:wBefore w:w="6" w:type="dxa"/>
        </w:trPr>
        <w:tc>
          <w:tcPr>
            <w:tcW w:w="2732" w:type="dxa"/>
          </w:tcPr>
          <w:p w:rsidR="00252DA0" w:rsidRPr="0092695A" w:rsidRDefault="005E4C45">
            <w:pPr>
              <w:autoSpaceDE w:val="0"/>
              <w:autoSpaceDN w:val="0"/>
              <w:adjustRightInd w:val="0"/>
              <w:spacing w:before="60" w:after="60"/>
              <w:jc w:val="left"/>
              <w:rPr>
                <w:rFonts w:ascii="Times New Roman" w:hAnsi="Times New Roman" w:cs="Times New Roman"/>
                <w:bCs/>
                <w:i/>
                <w:lang w:val="fr-FR"/>
              </w:rPr>
            </w:pPr>
            <w:r w:rsidRPr="0092695A">
              <w:rPr>
                <w:rFonts w:ascii="Times New Roman" w:hAnsi="Times New Roman" w:cs="Times New Roman"/>
                <w:bCs/>
                <w:i/>
                <w:lang w:val="fr-FR"/>
              </w:rPr>
              <w:t>Direct management:</w:t>
            </w:r>
          </w:p>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lang w:val="fr-FR"/>
              </w:rPr>
              <w:t>EU</w:t>
            </w:r>
            <w:r w:rsidRPr="0092695A">
              <w:rPr>
                <w:rFonts w:ascii="Times New Roman" w:hAnsi="Times New Roman" w:cs="Times New Roman"/>
                <w:b/>
                <w:bCs/>
              </w:rPr>
              <w:t xml:space="preserve"> Delegation</w:t>
            </w:r>
          </w:p>
        </w:tc>
        <w:tc>
          <w:tcPr>
            <w:tcW w:w="6584" w:type="dxa"/>
            <w:gridSpan w:val="4"/>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 xml:space="preserve">EU Delegation to the </w:t>
            </w:r>
            <w:r w:rsidR="00B123BA" w:rsidRPr="00B123BA">
              <w:rPr>
                <w:rFonts w:ascii="Times New Roman" w:hAnsi="Times New Roman" w:cs="Times New Roman"/>
                <w:b/>
              </w:rPr>
              <w:t>Republic of Macedonia</w:t>
            </w:r>
          </w:p>
        </w:tc>
      </w:tr>
      <w:tr w:rsidR="00252DA0">
        <w:trPr>
          <w:gridBefore w:val="1"/>
          <w:wBefore w:w="6" w:type="dxa"/>
        </w:trPr>
        <w:tc>
          <w:tcPr>
            <w:tcW w:w="2732" w:type="dxa"/>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Implementation responsibilities</w:t>
            </w:r>
          </w:p>
        </w:tc>
        <w:tc>
          <w:tcPr>
            <w:tcW w:w="6584" w:type="dxa"/>
            <w:gridSpan w:val="4"/>
          </w:tcPr>
          <w:p w:rsidR="00252DA0" w:rsidRPr="0092695A" w:rsidRDefault="0040645D">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 xml:space="preserve">EU Delegation to the </w:t>
            </w:r>
            <w:r w:rsidR="00B123BA" w:rsidRPr="00B123BA">
              <w:rPr>
                <w:rFonts w:ascii="Times New Roman" w:hAnsi="Times New Roman" w:cs="Times New Roman"/>
                <w:b/>
              </w:rPr>
              <w:t>Republic of Macedonia</w:t>
            </w:r>
          </w:p>
        </w:tc>
      </w:tr>
      <w:tr w:rsidR="00252DA0">
        <w:trPr>
          <w:gridBefore w:val="1"/>
          <w:wBefore w:w="6" w:type="dxa"/>
        </w:trPr>
        <w:tc>
          <w:tcPr>
            <w:tcW w:w="9316" w:type="dxa"/>
            <w:gridSpan w:val="5"/>
          </w:tcPr>
          <w:p w:rsidR="00252DA0" w:rsidRPr="0092695A" w:rsidRDefault="005E4C45">
            <w:pPr>
              <w:autoSpaceDE w:val="0"/>
              <w:autoSpaceDN w:val="0"/>
              <w:adjustRightInd w:val="0"/>
              <w:spacing w:before="60" w:after="60"/>
              <w:jc w:val="center"/>
              <w:rPr>
                <w:rFonts w:ascii="Times New Roman" w:hAnsi="Times New Roman" w:cs="Times New Roman"/>
                <w:b/>
                <w:bCs/>
              </w:rPr>
            </w:pPr>
            <w:r w:rsidRPr="0092695A">
              <w:rPr>
                <w:rFonts w:ascii="Times New Roman" w:hAnsi="Times New Roman" w:cs="Times New Roman"/>
                <w:b/>
                <w:bCs/>
              </w:rPr>
              <w:t>Location</w:t>
            </w:r>
          </w:p>
        </w:tc>
      </w:tr>
      <w:tr w:rsidR="00252DA0">
        <w:trPr>
          <w:gridBefore w:val="1"/>
          <w:wBefore w:w="6" w:type="dxa"/>
        </w:trPr>
        <w:tc>
          <w:tcPr>
            <w:tcW w:w="2732" w:type="dxa"/>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Zone benefiting from the action</w:t>
            </w:r>
          </w:p>
        </w:tc>
        <w:tc>
          <w:tcPr>
            <w:tcW w:w="6584" w:type="dxa"/>
            <w:gridSpan w:val="4"/>
          </w:tcPr>
          <w:p w:rsidR="00252DA0" w:rsidRPr="0092695A" w:rsidRDefault="006F64DA">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T</w:t>
            </w:r>
            <w:r w:rsidR="005E4C45" w:rsidRPr="0092695A">
              <w:rPr>
                <w:rFonts w:ascii="Times New Roman" w:hAnsi="Times New Roman" w:cs="Times New Roman"/>
              </w:rPr>
              <w:t xml:space="preserve">he </w:t>
            </w:r>
            <w:r w:rsidR="00B123BA" w:rsidRPr="00B123BA">
              <w:rPr>
                <w:rFonts w:ascii="Times New Roman" w:hAnsi="Times New Roman" w:cs="Times New Roman"/>
                <w:b/>
              </w:rPr>
              <w:t>Republic of Macedonia</w:t>
            </w:r>
          </w:p>
        </w:tc>
      </w:tr>
      <w:tr w:rsidR="00252DA0">
        <w:trPr>
          <w:gridBefore w:val="1"/>
          <w:wBefore w:w="6" w:type="dxa"/>
        </w:trPr>
        <w:tc>
          <w:tcPr>
            <w:tcW w:w="2732" w:type="dxa"/>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Specific implementation area(s)</w:t>
            </w:r>
          </w:p>
        </w:tc>
        <w:tc>
          <w:tcPr>
            <w:tcW w:w="6584" w:type="dxa"/>
            <w:gridSpan w:val="4"/>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bCs/>
              </w:rPr>
              <w:t xml:space="preserve">Nation-wide activities </w:t>
            </w:r>
          </w:p>
        </w:tc>
      </w:tr>
      <w:tr w:rsidR="00252DA0">
        <w:trPr>
          <w:gridBefore w:val="1"/>
          <w:wBefore w:w="6" w:type="dxa"/>
        </w:trPr>
        <w:tc>
          <w:tcPr>
            <w:tcW w:w="9316" w:type="dxa"/>
            <w:gridSpan w:val="5"/>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center"/>
              <w:rPr>
                <w:rFonts w:ascii="Times New Roman" w:hAnsi="Times New Roman" w:cs="Times New Roman"/>
                <w:b/>
                <w:bCs/>
              </w:rPr>
            </w:pPr>
            <w:r w:rsidRPr="0092695A">
              <w:rPr>
                <w:rFonts w:ascii="Times New Roman" w:hAnsi="Times New Roman" w:cs="Times New Roman"/>
                <w:b/>
                <w:bCs/>
              </w:rPr>
              <w:t>Timeline</w:t>
            </w:r>
          </w:p>
        </w:tc>
      </w:tr>
      <w:tr w:rsidR="00252DA0">
        <w:tc>
          <w:tcPr>
            <w:tcW w:w="2738" w:type="dxa"/>
            <w:gridSpan w:val="2"/>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Final date for concluding Financing Agreement(s) with IPA II beneficiary</w:t>
            </w:r>
          </w:p>
        </w:tc>
        <w:tc>
          <w:tcPr>
            <w:tcW w:w="6584" w:type="dxa"/>
            <w:gridSpan w:val="4"/>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At the latest by 31 December N+1</w:t>
            </w:r>
          </w:p>
        </w:tc>
      </w:tr>
      <w:tr w:rsidR="00252DA0">
        <w:tc>
          <w:tcPr>
            <w:tcW w:w="2738" w:type="dxa"/>
            <w:gridSpan w:val="2"/>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 xml:space="preserve">Final date for concluding delegation agreements under indirect management </w:t>
            </w:r>
          </w:p>
        </w:tc>
        <w:tc>
          <w:tcPr>
            <w:tcW w:w="6584" w:type="dxa"/>
            <w:gridSpan w:val="4"/>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At the latest by 31 December N+1</w:t>
            </w:r>
          </w:p>
        </w:tc>
      </w:tr>
      <w:tr w:rsidR="00252DA0">
        <w:tc>
          <w:tcPr>
            <w:tcW w:w="2738" w:type="dxa"/>
            <w:gridSpan w:val="2"/>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Final date for concluding procurement and grant contracts</w:t>
            </w:r>
          </w:p>
        </w:tc>
        <w:tc>
          <w:tcPr>
            <w:tcW w:w="6584" w:type="dxa"/>
            <w:gridSpan w:val="4"/>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3 years following the date of conclusion of the Financing Agreement, with the exception of cases listed under Article 189(2) of the Financial Regulation</w:t>
            </w:r>
          </w:p>
        </w:tc>
      </w:tr>
      <w:tr w:rsidR="00252DA0">
        <w:tc>
          <w:tcPr>
            <w:tcW w:w="2738" w:type="dxa"/>
            <w:gridSpan w:val="2"/>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 xml:space="preserve">Final date for operational implementation </w:t>
            </w:r>
          </w:p>
        </w:tc>
        <w:tc>
          <w:tcPr>
            <w:tcW w:w="6584" w:type="dxa"/>
            <w:gridSpan w:val="4"/>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t>6 years following the conclusion of the Financing Agreement</w:t>
            </w:r>
          </w:p>
        </w:tc>
      </w:tr>
      <w:tr w:rsidR="00252DA0">
        <w:tc>
          <w:tcPr>
            <w:tcW w:w="2738" w:type="dxa"/>
            <w:gridSpan w:val="2"/>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b/>
                <w:bCs/>
              </w:rPr>
            </w:pPr>
            <w:r w:rsidRPr="0092695A">
              <w:rPr>
                <w:rFonts w:ascii="Times New Roman" w:hAnsi="Times New Roman" w:cs="Times New Roman"/>
                <w:b/>
                <w:bCs/>
              </w:rPr>
              <w:t>Final date for implementing the Financing Agreement</w:t>
            </w:r>
            <w:r w:rsidRPr="0092695A">
              <w:rPr>
                <w:rFonts w:ascii="Times New Roman" w:hAnsi="Times New Roman" w:cs="Times New Roman"/>
                <w:b/>
                <w:bCs/>
              </w:rPr>
              <w:br/>
              <w:t>(date by which this programme should be de-</w:t>
            </w:r>
            <w:r w:rsidRPr="0092695A">
              <w:rPr>
                <w:rFonts w:ascii="Times New Roman" w:hAnsi="Times New Roman" w:cs="Times New Roman"/>
                <w:b/>
                <w:bCs/>
              </w:rPr>
              <w:lastRenderedPageBreak/>
              <w:t>committed and closed)</w:t>
            </w:r>
          </w:p>
        </w:tc>
        <w:tc>
          <w:tcPr>
            <w:tcW w:w="6584" w:type="dxa"/>
            <w:gridSpan w:val="4"/>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left"/>
              <w:rPr>
                <w:rFonts w:ascii="Times New Roman" w:hAnsi="Times New Roman" w:cs="Times New Roman"/>
              </w:rPr>
            </w:pPr>
            <w:r w:rsidRPr="0092695A">
              <w:rPr>
                <w:rFonts w:ascii="Times New Roman" w:hAnsi="Times New Roman" w:cs="Times New Roman"/>
              </w:rPr>
              <w:lastRenderedPageBreak/>
              <w:t>12 years following the conclusion of the Financing Agreement</w:t>
            </w:r>
          </w:p>
        </w:tc>
      </w:tr>
      <w:tr w:rsidR="00252DA0">
        <w:trPr>
          <w:gridBefore w:val="1"/>
          <w:wBefore w:w="6" w:type="dxa"/>
        </w:trPr>
        <w:tc>
          <w:tcPr>
            <w:tcW w:w="9316" w:type="dxa"/>
            <w:gridSpan w:val="5"/>
            <w:tcBorders>
              <w:top w:val="single" w:sz="4" w:space="0" w:color="auto"/>
              <w:left w:val="single" w:sz="4" w:space="0" w:color="auto"/>
              <w:bottom w:val="single" w:sz="4" w:space="0" w:color="auto"/>
              <w:right w:val="single" w:sz="4" w:space="0" w:color="auto"/>
            </w:tcBorders>
          </w:tcPr>
          <w:p w:rsidR="00252DA0" w:rsidRPr="0092695A" w:rsidRDefault="005E4C45">
            <w:pPr>
              <w:autoSpaceDE w:val="0"/>
              <w:autoSpaceDN w:val="0"/>
              <w:adjustRightInd w:val="0"/>
              <w:spacing w:before="60" w:after="60"/>
              <w:jc w:val="center"/>
              <w:rPr>
                <w:rFonts w:ascii="Times New Roman" w:hAnsi="Times New Roman" w:cs="Times New Roman"/>
                <w:b/>
                <w:bCs/>
              </w:rPr>
            </w:pPr>
            <w:r w:rsidRPr="0092695A">
              <w:rPr>
                <w:rFonts w:ascii="Times New Roman" w:hAnsi="Times New Roman" w:cs="Times New Roman"/>
                <w:b/>
                <w:bCs/>
              </w:rPr>
              <w:lastRenderedPageBreak/>
              <w:t>Policy objectives / Markers (DAC form)</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b/>
              </w:rPr>
            </w:pPr>
            <w:r w:rsidRPr="0092695A">
              <w:rPr>
                <w:rFonts w:ascii="Times New Roman" w:hAnsi="Times New Roman" w:cs="Times New Roman"/>
                <w:b/>
              </w:rPr>
              <w:t>General policy objective</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b/>
              </w:rPr>
            </w:pPr>
            <w:r w:rsidRPr="0092695A">
              <w:rPr>
                <w:rFonts w:ascii="Times New Roman" w:hAnsi="Times New Roman" w:cs="Times New Roman"/>
                <w:b/>
              </w:rPr>
              <w:t>Not targeted</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b/>
              </w:rPr>
            </w:pPr>
            <w:r w:rsidRPr="0092695A">
              <w:rPr>
                <w:rFonts w:ascii="Times New Roman" w:hAnsi="Times New Roman" w:cs="Times New Roman"/>
                <w:b/>
              </w:rPr>
              <w:t>Significant objective</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b/>
              </w:rPr>
            </w:pPr>
            <w:r w:rsidRPr="0092695A">
              <w:rPr>
                <w:rFonts w:ascii="Times New Roman" w:hAnsi="Times New Roman" w:cs="Times New Roman"/>
                <w:b/>
              </w:rPr>
              <w:t>Main objective</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Participation development/good governance</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Aid to environment</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Gender equality (including Women In Development)</w:t>
            </w:r>
          </w:p>
        </w:tc>
        <w:tc>
          <w:tcPr>
            <w:tcW w:w="1275" w:type="dxa"/>
            <w:tcBorders>
              <w:top w:val="single" w:sz="4" w:space="0" w:color="auto"/>
              <w:left w:val="nil"/>
              <w:bottom w:val="single" w:sz="4" w:space="0" w:color="auto"/>
              <w:right w:val="single" w:sz="4" w:space="0" w:color="auto"/>
            </w:tcBorders>
          </w:tcPr>
          <w:p w:rsidR="00252DA0" w:rsidRPr="0092695A" w:rsidRDefault="0040645D" w:rsidP="0040645D">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276" w:type="dxa"/>
            <w:tcBorders>
              <w:top w:val="single" w:sz="4" w:space="0" w:color="auto"/>
              <w:left w:val="nil"/>
              <w:bottom w:val="single" w:sz="4" w:space="0" w:color="auto"/>
              <w:right w:val="single" w:sz="4" w:space="0" w:color="auto"/>
            </w:tcBorders>
          </w:tcPr>
          <w:p w:rsidR="00252DA0" w:rsidRPr="0092695A" w:rsidRDefault="0040645D">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Trade Development</w:t>
            </w:r>
          </w:p>
        </w:tc>
        <w:tc>
          <w:tcPr>
            <w:tcW w:w="1275" w:type="dxa"/>
            <w:tcBorders>
              <w:top w:val="single" w:sz="4" w:space="0" w:color="auto"/>
              <w:left w:val="nil"/>
              <w:bottom w:val="single" w:sz="4" w:space="0" w:color="auto"/>
              <w:right w:val="single" w:sz="4" w:space="0" w:color="auto"/>
            </w:tcBorders>
          </w:tcPr>
          <w:p w:rsidR="00252DA0" w:rsidRPr="0092695A" w:rsidRDefault="0040645D">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276" w:type="dxa"/>
            <w:tcBorders>
              <w:top w:val="single" w:sz="4" w:space="0" w:color="auto"/>
              <w:left w:val="nil"/>
              <w:bottom w:val="single" w:sz="4" w:space="0" w:color="auto"/>
              <w:right w:val="single" w:sz="4" w:space="0" w:color="auto"/>
            </w:tcBorders>
          </w:tcPr>
          <w:p w:rsidR="00252DA0" w:rsidRPr="0092695A" w:rsidRDefault="0040645D" w:rsidP="0040645D">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 xml:space="preserve">x </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Reproductive, Maternal, New born and child health</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b/>
              </w:rPr>
            </w:pPr>
            <w:r w:rsidRPr="0092695A">
              <w:rPr>
                <w:rFonts w:ascii="Times New Roman" w:hAnsi="Times New Roman" w:cs="Times New Roman"/>
                <w:b/>
              </w:rPr>
              <w:t>RIO Convention markers</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b/>
              </w:rPr>
            </w:pPr>
            <w:r w:rsidRPr="0092695A">
              <w:rPr>
                <w:rFonts w:ascii="Times New Roman" w:hAnsi="Times New Roman" w:cs="Times New Roman"/>
                <w:b/>
              </w:rPr>
              <w:t>Not targeted</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b/>
              </w:rPr>
            </w:pPr>
            <w:r w:rsidRPr="0092695A">
              <w:rPr>
                <w:rFonts w:ascii="Times New Roman" w:hAnsi="Times New Roman" w:cs="Times New Roman"/>
                <w:b/>
              </w:rPr>
              <w:t>Significant objective</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b/>
              </w:rPr>
            </w:pPr>
            <w:r w:rsidRPr="0092695A">
              <w:rPr>
                <w:rFonts w:ascii="Times New Roman" w:hAnsi="Times New Roman" w:cs="Times New Roman"/>
                <w:b/>
              </w:rPr>
              <w:t>Main objective</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Biological diversity</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Combat desertification</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Climate change mitigation</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r w:rsidR="00252D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51" w:type="dxa"/>
            <w:gridSpan w:val="3"/>
            <w:tcBorders>
              <w:top w:val="single" w:sz="4" w:space="0" w:color="auto"/>
              <w:left w:val="single" w:sz="4" w:space="0" w:color="auto"/>
              <w:bottom w:val="single" w:sz="4" w:space="0" w:color="auto"/>
              <w:right w:val="single" w:sz="4" w:space="0" w:color="auto"/>
            </w:tcBorders>
          </w:tcPr>
          <w:p w:rsidR="00252DA0" w:rsidRPr="0092695A" w:rsidRDefault="005E4C45">
            <w:pPr>
              <w:pStyle w:val="Text1"/>
              <w:spacing w:before="0" w:after="0"/>
              <w:ind w:left="0" w:right="-25"/>
              <w:jc w:val="left"/>
              <w:rPr>
                <w:rFonts w:ascii="Times New Roman" w:hAnsi="Times New Roman" w:cs="Times New Roman"/>
              </w:rPr>
            </w:pPr>
            <w:r w:rsidRPr="0092695A">
              <w:rPr>
                <w:rFonts w:ascii="Times New Roman" w:hAnsi="Times New Roman" w:cs="Times New Roman"/>
              </w:rPr>
              <w:t>Climate change adaptation</w:t>
            </w:r>
          </w:p>
        </w:tc>
        <w:tc>
          <w:tcPr>
            <w:tcW w:w="1275"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Times New Roman" w:eastAsia="MS Mincho" w:hAnsi="Times New Roman" w:cs="Times New Roman"/>
              </w:rPr>
              <w:t>x</w:t>
            </w:r>
          </w:p>
        </w:tc>
        <w:tc>
          <w:tcPr>
            <w:tcW w:w="1276"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c>
          <w:tcPr>
            <w:tcW w:w="1420" w:type="dxa"/>
            <w:tcBorders>
              <w:top w:val="single" w:sz="4" w:space="0" w:color="auto"/>
              <w:left w:val="nil"/>
              <w:bottom w:val="single" w:sz="4" w:space="0" w:color="auto"/>
              <w:right w:val="single" w:sz="4" w:space="0" w:color="auto"/>
            </w:tcBorders>
          </w:tcPr>
          <w:p w:rsidR="00252DA0" w:rsidRPr="0092695A" w:rsidRDefault="005E4C45">
            <w:pPr>
              <w:pStyle w:val="Text1"/>
              <w:spacing w:before="0" w:after="0"/>
              <w:ind w:left="0" w:right="-25"/>
              <w:jc w:val="center"/>
              <w:rPr>
                <w:rFonts w:ascii="Times New Roman" w:hAnsi="Times New Roman" w:cs="Times New Roman"/>
              </w:rPr>
            </w:pPr>
            <w:r w:rsidRPr="0092695A">
              <w:rPr>
                <w:rFonts w:ascii="MS Mincho" w:eastAsia="MS Mincho" w:hAnsi="MS Mincho" w:cs="MS Mincho" w:hint="eastAsia"/>
              </w:rPr>
              <w:t>☐</w:t>
            </w:r>
          </w:p>
        </w:tc>
      </w:tr>
    </w:tbl>
    <w:p w:rsidR="00252DA0" w:rsidRDefault="00252DA0">
      <w:pPr>
        <w:autoSpaceDE w:val="0"/>
        <w:autoSpaceDN w:val="0"/>
        <w:adjustRightInd w:val="0"/>
        <w:spacing w:before="0" w:after="0"/>
        <w:ind w:left="432"/>
        <w:rPr>
          <w:rFonts w:ascii="Times New Roman" w:hAnsi="Times New Roman" w:cs="Times New Roman"/>
          <w:b/>
          <w:bCs/>
          <w:smallCaps/>
        </w:rPr>
      </w:pPr>
    </w:p>
    <w:p w:rsidR="00252DA0" w:rsidRPr="00FE258A" w:rsidRDefault="005E4C45">
      <w:pPr>
        <w:pStyle w:val="Heading1"/>
      </w:pPr>
      <w:r>
        <w:rPr>
          <w:rFonts w:ascii="Times New Roman" w:hAnsi="Times New Roman" w:cs="Times New Roman"/>
          <w:sz w:val="22"/>
          <w:szCs w:val="22"/>
        </w:rPr>
        <w:br w:type="column"/>
      </w:r>
      <w:r w:rsidRPr="00FE258A">
        <w:t xml:space="preserve">1. Rationale </w:t>
      </w:r>
    </w:p>
    <w:p w:rsidR="00252DA0" w:rsidRDefault="005E4C45">
      <w:pPr>
        <w:spacing w:before="480" w:after="240"/>
        <w:rPr>
          <w:rFonts w:ascii="Arial" w:hAnsi="Arial" w:cs="Arial"/>
          <w:b/>
          <w:smallCaps/>
          <w:szCs w:val="24"/>
        </w:rPr>
      </w:pPr>
      <w:r w:rsidRPr="00FE258A">
        <w:rPr>
          <w:rFonts w:ascii="Arial" w:hAnsi="Arial" w:cs="Arial"/>
          <w:b/>
          <w:smallCaps/>
          <w:szCs w:val="24"/>
        </w:rPr>
        <w:t>Problem and stakeholder analysis</w:t>
      </w:r>
    </w:p>
    <w:p w:rsidR="00CE6B45" w:rsidRPr="0092695A" w:rsidRDefault="00CE6B45" w:rsidP="00407890">
      <w:pPr>
        <w:pStyle w:val="ActionDocument"/>
      </w:pPr>
      <w:r w:rsidRPr="0092695A">
        <w:t xml:space="preserve">This Action targets two of the key priorities </w:t>
      </w:r>
      <w:r w:rsidR="006C58F0" w:rsidRPr="0092695A">
        <w:t>identified in</w:t>
      </w:r>
      <w:r w:rsidRPr="0092695A">
        <w:t xml:space="preserve"> the sector "Democracy and </w:t>
      </w:r>
      <w:r w:rsidR="006C58F0" w:rsidRPr="0092695A">
        <w:t>Governance</w:t>
      </w:r>
      <w:r w:rsidRPr="0092695A">
        <w:t>"</w:t>
      </w:r>
      <w:r w:rsidR="006C58F0" w:rsidRPr="0092695A">
        <w:t xml:space="preserve"> by the country Indicative Strategy Paper</w:t>
      </w:r>
      <w:r w:rsidRPr="0092695A">
        <w:t>, namely Public Administration Reform and Statistics. Public Finance Management is expected to be targeted through a separate action under the 2018 annual programme.</w:t>
      </w:r>
    </w:p>
    <w:p w:rsidR="00CE6B45" w:rsidRPr="0092695A" w:rsidRDefault="00CE6B45" w:rsidP="006C58F0">
      <w:pPr>
        <w:pStyle w:val="ActionDocument"/>
        <w:spacing w:before="240"/>
        <w:rPr>
          <w:b/>
          <w:i/>
          <w:u w:val="single"/>
        </w:rPr>
      </w:pPr>
      <w:r w:rsidRPr="0092695A">
        <w:rPr>
          <w:b/>
          <w:i/>
          <w:u w:val="single"/>
        </w:rPr>
        <w:t>PUBLIC ADMINISTRATION REFORM</w:t>
      </w:r>
      <w:r w:rsidR="006C58F0" w:rsidRPr="0092695A">
        <w:rPr>
          <w:b/>
          <w:i/>
          <w:u w:val="single"/>
        </w:rPr>
        <w:t xml:space="preserve"> (PAR)</w:t>
      </w:r>
    </w:p>
    <w:p w:rsidR="00252DA0" w:rsidRPr="0092695A" w:rsidRDefault="005E4C45" w:rsidP="00407890">
      <w:pPr>
        <w:pStyle w:val="ActionDocument"/>
      </w:pPr>
      <w:r w:rsidRPr="0092695A">
        <w:t>Public Administration</w:t>
      </w:r>
      <w:r w:rsidR="0041332E" w:rsidRPr="0092695A">
        <w:t xml:space="preserve"> Reform</w:t>
      </w:r>
      <w:r w:rsidRPr="0092695A">
        <w:t>is a continuous process in the democratic countries</w:t>
      </w:r>
      <w:r w:rsidR="0041332E" w:rsidRPr="0092695A">
        <w:t xml:space="preserve">. </w:t>
      </w:r>
      <w:r w:rsidR="0041332E" w:rsidRPr="0092695A">
        <w:rPr>
          <w:lang w:val="en-US"/>
        </w:rPr>
        <w:t>F</w:t>
      </w:r>
      <w:r w:rsidRPr="0092695A">
        <w:rPr>
          <w:lang w:val="en-US"/>
        </w:rPr>
        <w:t xml:space="preserve">or </w:t>
      </w:r>
      <w:r w:rsidRPr="0092695A">
        <w:t xml:space="preserve">the </w:t>
      </w:r>
      <w:r w:rsidR="00B123BA" w:rsidRPr="00B123BA">
        <w:rPr>
          <w:b/>
        </w:rPr>
        <w:t>Republic of Macedonia</w:t>
      </w:r>
      <w:r w:rsidRPr="0092695A">
        <w:rPr>
          <w:lang w:val="en-US"/>
        </w:rPr>
        <w:t xml:space="preserve"> it is </w:t>
      </w:r>
      <w:r w:rsidRPr="0092695A">
        <w:t xml:space="preserve">an important precondition for </w:t>
      </w:r>
      <w:r w:rsidR="00815155" w:rsidRPr="0092695A">
        <w:t xml:space="preserve">successful </w:t>
      </w:r>
      <w:r w:rsidRPr="0092695A">
        <w:t xml:space="preserve">integration in the EU. </w:t>
      </w:r>
      <w:r w:rsidRPr="0092695A">
        <w:rPr>
          <w:lang w:val="en-US"/>
        </w:rPr>
        <w:t>R</w:t>
      </w:r>
      <w:r w:rsidRPr="0092695A">
        <w:t xml:space="preserve">eforming </w:t>
      </w:r>
      <w:r w:rsidR="00815155" w:rsidRPr="0092695A">
        <w:t>p</w:t>
      </w:r>
      <w:r w:rsidRPr="0092695A">
        <w:t xml:space="preserve">ublic </w:t>
      </w:r>
      <w:r w:rsidR="00815155" w:rsidRPr="0092695A">
        <w:t>a</w:t>
      </w:r>
      <w:r w:rsidRPr="0092695A">
        <w:t xml:space="preserve">dministration in the country is part of the structural process of approximation to </w:t>
      </w:r>
      <w:r w:rsidR="00815155" w:rsidRPr="0092695A">
        <w:t xml:space="preserve">the </w:t>
      </w:r>
      <w:r w:rsidRPr="0092695A">
        <w:t xml:space="preserve">EU standards, successful implementation of European </w:t>
      </w:r>
      <w:r w:rsidR="00E77F25" w:rsidRPr="0092695A">
        <w:t xml:space="preserve">good </w:t>
      </w:r>
      <w:r w:rsidRPr="0092695A">
        <w:t>practice</w:t>
      </w:r>
      <w:r w:rsidR="00E77F25" w:rsidRPr="0092695A">
        <w:t>s</w:t>
      </w:r>
      <w:r w:rsidRPr="0092695A">
        <w:t xml:space="preserve"> and </w:t>
      </w:r>
      <w:r w:rsidR="00F84062" w:rsidRPr="0092695A">
        <w:t>the Principles of Public</w:t>
      </w:r>
      <w:r w:rsidR="001F2A31" w:rsidRPr="0092695A">
        <w:t xml:space="preserve"> Administration</w:t>
      </w:r>
      <w:r w:rsidR="00B512BB" w:rsidRPr="0092695A">
        <w:t>.</w:t>
      </w:r>
    </w:p>
    <w:p w:rsidR="00252DA0" w:rsidRPr="0092695A" w:rsidRDefault="005E4C45">
      <w:pPr>
        <w:pStyle w:val="ActionDocument"/>
      </w:pPr>
      <w:r w:rsidRPr="0092695A">
        <w:t xml:space="preserve">The </w:t>
      </w:r>
      <w:r w:rsidR="00C23539" w:rsidRPr="0092695A">
        <w:t xml:space="preserve">national </w:t>
      </w:r>
      <w:r w:rsidRPr="0092695A">
        <w:rPr>
          <w:lang w:val="en-US"/>
        </w:rPr>
        <w:t>PAR Strategy expired in 2015</w:t>
      </w:r>
      <w:r w:rsidR="00C23539" w:rsidRPr="0092695A">
        <w:rPr>
          <w:lang w:val="en-US"/>
        </w:rPr>
        <w:t>. P</w:t>
      </w:r>
      <w:r w:rsidRPr="0092695A">
        <w:t xml:space="preserve">reparation of the new PAR Strategy </w:t>
      </w:r>
      <w:r w:rsidR="00C23539" w:rsidRPr="0092695A">
        <w:t xml:space="preserve">for </w:t>
      </w:r>
      <w:r w:rsidRPr="0092695A">
        <w:t xml:space="preserve">the period 2017-2022 is </w:t>
      </w:r>
      <w:r w:rsidR="00C23539" w:rsidRPr="0092695A">
        <w:t>on</w:t>
      </w:r>
      <w:r w:rsidRPr="0092695A">
        <w:t>going</w:t>
      </w:r>
      <w:r w:rsidR="00852F08" w:rsidRPr="0092695A">
        <w:t xml:space="preserve"> with support of OECD/SIGMA</w:t>
      </w:r>
      <w:r w:rsidR="006C58F0" w:rsidRPr="0092695A">
        <w:t xml:space="preserve">. It takes </w:t>
      </w:r>
      <w:r w:rsidR="002A6A69" w:rsidRPr="0092695A">
        <w:t xml:space="preserve">into account </w:t>
      </w:r>
      <w:r w:rsidR="006C58F0" w:rsidRPr="0092695A">
        <w:t xml:space="preserve">the self-assessment of the implementation of the previous Strategy and the lessons learned, </w:t>
      </w:r>
      <w:r w:rsidR="002A6A69" w:rsidRPr="0092695A">
        <w:t xml:space="preserve">, </w:t>
      </w:r>
      <w:r w:rsidRPr="0092695A">
        <w:t xml:space="preserve">as well as the findings of the </w:t>
      </w:r>
      <w:r w:rsidR="00852F08" w:rsidRPr="0092695A">
        <w:t>SIGMA 2015 baseline assessment</w:t>
      </w:r>
      <w:r w:rsidR="006C58F0" w:rsidRPr="0092695A">
        <w:t xml:space="preserve">, the </w:t>
      </w:r>
      <w:r w:rsidR="00852F08" w:rsidRPr="0092695A">
        <w:t xml:space="preserve">2016 monitoring </w:t>
      </w:r>
      <w:r w:rsidR="006C58F0" w:rsidRPr="0092695A">
        <w:t xml:space="preserve">report and the 2017 assessment findings. </w:t>
      </w:r>
      <w:r w:rsidR="006F70F2" w:rsidRPr="0092695A">
        <w:t xml:space="preserve">The </w:t>
      </w:r>
      <w:r w:rsidR="006C58F0" w:rsidRPr="0092695A">
        <w:t xml:space="preserve">new Strategy is also expected to address the Commission recommendations identified in the 2016 </w:t>
      </w:r>
      <w:r w:rsidR="006F70F2" w:rsidRPr="0092695A">
        <w:t xml:space="preserve">and the previous </w:t>
      </w:r>
      <w:r w:rsidRPr="0092695A">
        <w:t>annual country report</w:t>
      </w:r>
      <w:r w:rsidR="006F70F2" w:rsidRPr="0092695A">
        <w:t>s</w:t>
      </w:r>
      <w:r w:rsidR="00C1546A">
        <w:t>. R</w:t>
      </w:r>
      <w:r w:rsidR="006F70F2" w:rsidRPr="0092695A">
        <w:t xml:space="preserve">eflecting the Principles of Public Administration, </w:t>
      </w:r>
      <w:r w:rsidR="00C1546A">
        <w:t xml:space="preserve"> it</w:t>
      </w:r>
      <w:r w:rsidR="001F2A31" w:rsidRPr="0092695A">
        <w:t xml:space="preserve"> propose</w:t>
      </w:r>
      <w:r w:rsidR="006C58F0" w:rsidRPr="0092695A">
        <w:t>s</w:t>
      </w:r>
      <w:r w:rsidR="001F2A31" w:rsidRPr="0092695A">
        <w:t xml:space="preserve"> measures focused on</w:t>
      </w:r>
      <w:r w:rsidRPr="0092695A">
        <w:t>five priorities:</w:t>
      </w:r>
    </w:p>
    <w:p w:rsidR="00252DA0" w:rsidRPr="0092695A" w:rsidRDefault="005E4C45" w:rsidP="001C3D6C">
      <w:pPr>
        <w:pStyle w:val="ActionDocument"/>
        <w:numPr>
          <w:ilvl w:val="0"/>
          <w:numId w:val="26"/>
        </w:numPr>
        <w:spacing w:before="0" w:after="0"/>
        <w:ind w:left="714" w:right="57" w:hanging="357"/>
      </w:pPr>
      <w:r w:rsidRPr="0092695A">
        <w:t>Policy Development and Coordination</w:t>
      </w:r>
    </w:p>
    <w:p w:rsidR="00252DA0" w:rsidRPr="0092695A" w:rsidRDefault="004D5527" w:rsidP="001C3D6C">
      <w:pPr>
        <w:pStyle w:val="ActionDocument"/>
        <w:numPr>
          <w:ilvl w:val="0"/>
          <w:numId w:val="26"/>
        </w:numPr>
        <w:spacing w:before="0" w:after="0"/>
        <w:ind w:left="714" w:right="57" w:hanging="357"/>
      </w:pPr>
      <w:r w:rsidRPr="0092695A">
        <w:t xml:space="preserve">Transparency and </w:t>
      </w:r>
      <w:r w:rsidR="005E4C45" w:rsidRPr="0092695A">
        <w:t>Accountability</w:t>
      </w:r>
    </w:p>
    <w:p w:rsidR="00252DA0" w:rsidRPr="0092695A" w:rsidRDefault="005E4C45" w:rsidP="001C3D6C">
      <w:pPr>
        <w:pStyle w:val="ActionDocument"/>
        <w:numPr>
          <w:ilvl w:val="0"/>
          <w:numId w:val="26"/>
        </w:numPr>
        <w:spacing w:before="0" w:after="0"/>
        <w:ind w:left="714" w:right="57" w:hanging="357"/>
      </w:pPr>
      <w:r w:rsidRPr="0092695A">
        <w:t>Service Delivery</w:t>
      </w:r>
    </w:p>
    <w:p w:rsidR="00252DA0" w:rsidRPr="0092695A" w:rsidRDefault="005E4C45" w:rsidP="001C3D6C">
      <w:pPr>
        <w:pStyle w:val="ActionDocument"/>
        <w:numPr>
          <w:ilvl w:val="0"/>
          <w:numId w:val="26"/>
        </w:numPr>
        <w:spacing w:before="0" w:after="0"/>
        <w:ind w:left="714" w:right="57" w:hanging="357"/>
      </w:pPr>
      <w:r w:rsidRPr="0092695A">
        <w:t>Public service and Human Resource Management</w:t>
      </w:r>
    </w:p>
    <w:p w:rsidR="00131844" w:rsidRPr="0092695A" w:rsidRDefault="00131844" w:rsidP="00131844">
      <w:pPr>
        <w:pStyle w:val="ActionDocument"/>
        <w:numPr>
          <w:ilvl w:val="0"/>
          <w:numId w:val="26"/>
        </w:numPr>
        <w:spacing w:before="0" w:after="0"/>
        <w:ind w:left="714" w:right="57" w:hanging="357"/>
      </w:pPr>
      <w:r w:rsidRPr="0092695A">
        <w:t>Strategic Framework of Public Administration Reform</w:t>
      </w:r>
    </w:p>
    <w:p w:rsidR="00CE6B45" w:rsidRPr="0092695A" w:rsidRDefault="00CE6B45" w:rsidP="00131844">
      <w:pPr>
        <w:pStyle w:val="ActionDocument"/>
        <w:spacing w:before="0" w:after="0"/>
        <w:ind w:right="57"/>
      </w:pPr>
    </w:p>
    <w:p w:rsidR="00CE6B45" w:rsidRPr="0092695A" w:rsidRDefault="00784F8C" w:rsidP="00131844">
      <w:pPr>
        <w:pStyle w:val="ActionDocument"/>
        <w:spacing w:before="0" w:after="0"/>
        <w:ind w:right="57"/>
      </w:pPr>
      <w:r w:rsidRPr="0092695A">
        <w:t xml:space="preserve">This action </w:t>
      </w:r>
      <w:r w:rsidR="00DE104F" w:rsidRPr="0092695A">
        <w:rPr>
          <w:lang w:val="en-US"/>
        </w:rPr>
        <w:t xml:space="preserve">addresses </w:t>
      </w:r>
      <w:r w:rsidR="00897281" w:rsidRPr="0092695A">
        <w:rPr>
          <w:lang w:val="en-US"/>
        </w:rPr>
        <w:t>three</w:t>
      </w:r>
      <w:r w:rsidR="00DE104F" w:rsidRPr="0092695A">
        <w:rPr>
          <w:lang w:val="en-US"/>
        </w:rPr>
        <w:t xml:space="preserve"> of the five priorities</w:t>
      </w:r>
      <w:r w:rsidR="00CE6B45" w:rsidRPr="0092695A">
        <w:t xml:space="preserve"> above, namely Priority </w:t>
      </w:r>
      <w:r w:rsidR="00131844" w:rsidRPr="0092695A">
        <w:t>2</w:t>
      </w:r>
      <w:r w:rsidR="00CE6B45" w:rsidRPr="0092695A">
        <w:t>: Accountability and Transparency</w:t>
      </w:r>
      <w:r w:rsidR="00897281" w:rsidRPr="0092695A">
        <w:t>,</w:t>
      </w:r>
      <w:r w:rsidR="00CE6B45" w:rsidRPr="0092695A">
        <w:t xml:space="preserve"> Priority </w:t>
      </w:r>
      <w:r w:rsidR="00131844" w:rsidRPr="0092695A">
        <w:t>3</w:t>
      </w:r>
      <w:r w:rsidR="00CE6B45" w:rsidRPr="0092695A">
        <w:t>: Service Delivery</w:t>
      </w:r>
      <w:r w:rsidR="00897281" w:rsidRPr="0092695A">
        <w:t xml:space="preserve"> and Priority 4: Public service and Human Resource Management</w:t>
      </w:r>
      <w:r w:rsidR="00CE6B45" w:rsidRPr="0092695A">
        <w:t xml:space="preserve">. The other priorities </w:t>
      </w:r>
      <w:r w:rsidR="007D68AB" w:rsidRPr="0092695A">
        <w:t xml:space="preserve">are </w:t>
      </w:r>
      <w:r w:rsidR="00933978" w:rsidRPr="0092695A">
        <w:t xml:space="preserve">being addressed </w:t>
      </w:r>
      <w:r w:rsidR="007D68AB" w:rsidRPr="0092695A">
        <w:t xml:space="preserve">or </w:t>
      </w:r>
      <w:r w:rsidR="00CE6B45" w:rsidRPr="0092695A">
        <w:t xml:space="preserve">will be addressed through separate actions and projects in close coordination </w:t>
      </w:r>
      <w:r w:rsidR="007D68AB" w:rsidRPr="0092695A">
        <w:t xml:space="preserve">with other key donors active in this area. </w:t>
      </w:r>
      <w:r w:rsidR="00CE6B45" w:rsidRPr="0092695A">
        <w:t xml:space="preserve">The </w:t>
      </w:r>
      <w:r w:rsidR="00933978" w:rsidRPr="0092695A">
        <w:t xml:space="preserve">main </w:t>
      </w:r>
      <w:r w:rsidR="00CE6B45" w:rsidRPr="0092695A">
        <w:t xml:space="preserve">reasons </w:t>
      </w:r>
      <w:r w:rsidR="007D68AB" w:rsidRPr="0092695A">
        <w:t>for focusing on the proposed</w:t>
      </w:r>
      <w:r w:rsidR="00D1104C" w:rsidRPr="0092695A">
        <w:t>three</w:t>
      </w:r>
      <w:r w:rsidR="00CE6B45" w:rsidRPr="0092695A">
        <w:t xml:space="preserve"> priorities in IPA 2017 annual programme are:</w:t>
      </w:r>
    </w:p>
    <w:p w:rsidR="00927AE9" w:rsidRPr="0092695A" w:rsidRDefault="007D68AB" w:rsidP="000525E4">
      <w:pPr>
        <w:pStyle w:val="ActionDocument"/>
        <w:numPr>
          <w:ilvl w:val="0"/>
          <w:numId w:val="73"/>
        </w:numPr>
        <w:spacing w:before="0" w:after="0"/>
        <w:ind w:right="57"/>
      </w:pPr>
      <w:r w:rsidRPr="0092695A">
        <w:t>Relevance of the proposed priorities to key concerns and weaknesses identified by the European Commission and OECD/</w:t>
      </w:r>
      <w:r w:rsidR="00B512BB" w:rsidRPr="0092695A">
        <w:t>SIGMA;</w:t>
      </w:r>
    </w:p>
    <w:p w:rsidR="00817404" w:rsidRPr="0092695A" w:rsidRDefault="00817404" w:rsidP="000525E4">
      <w:pPr>
        <w:pStyle w:val="ActionDocument"/>
        <w:numPr>
          <w:ilvl w:val="0"/>
          <w:numId w:val="73"/>
        </w:numPr>
        <w:spacing w:before="0" w:after="0"/>
        <w:ind w:right="57"/>
      </w:pPr>
      <w:r w:rsidRPr="0092695A">
        <w:t>Coherence with other planned activities of the EU</w:t>
      </w:r>
      <w:r w:rsidR="00B512BB" w:rsidRPr="0092695A">
        <w:t>;</w:t>
      </w:r>
    </w:p>
    <w:p w:rsidR="00B512BB" w:rsidRPr="0092695A" w:rsidRDefault="00817404" w:rsidP="000525E4">
      <w:pPr>
        <w:pStyle w:val="ActionDocument"/>
        <w:numPr>
          <w:ilvl w:val="0"/>
          <w:numId w:val="73"/>
        </w:numPr>
        <w:spacing w:before="0" w:after="0"/>
        <w:ind w:right="57"/>
      </w:pPr>
      <w:r w:rsidRPr="0092695A">
        <w:t xml:space="preserve">Maturity of the </w:t>
      </w:r>
      <w:r w:rsidR="00B512BB" w:rsidRPr="0092695A">
        <w:t xml:space="preserve">interventions </w:t>
      </w:r>
      <w:r w:rsidRPr="0092695A">
        <w:t>propo</w:t>
      </w:r>
      <w:r w:rsidR="00B512BB" w:rsidRPr="0092695A">
        <w:t>sed by the national authorities;</w:t>
      </w:r>
    </w:p>
    <w:p w:rsidR="0017600A" w:rsidRPr="0092695A" w:rsidRDefault="00B512BB" w:rsidP="000525E4">
      <w:pPr>
        <w:pStyle w:val="ActionDocument"/>
        <w:numPr>
          <w:ilvl w:val="0"/>
          <w:numId w:val="73"/>
        </w:numPr>
        <w:spacing w:before="0" w:after="0"/>
        <w:ind w:right="57"/>
      </w:pPr>
      <w:r w:rsidRPr="0092695A">
        <w:t>High-level commitment for the proposed activities expressed by the action beneficiaries;</w:t>
      </w:r>
    </w:p>
    <w:p w:rsidR="0017600A" w:rsidRPr="0092695A" w:rsidRDefault="00817404" w:rsidP="000525E4">
      <w:pPr>
        <w:pStyle w:val="ActionDocument"/>
        <w:numPr>
          <w:ilvl w:val="0"/>
          <w:numId w:val="73"/>
        </w:numPr>
        <w:spacing w:before="0" w:after="0"/>
        <w:ind w:right="57"/>
      </w:pPr>
      <w:r w:rsidRPr="0092695A">
        <w:t>Availability of funds</w:t>
      </w:r>
      <w:r w:rsidR="00B512BB" w:rsidRPr="0092695A">
        <w:t xml:space="preserve"> (</w:t>
      </w:r>
      <w:r w:rsidR="0017600A" w:rsidRPr="0092695A">
        <w:t>while the cost of the implementation of the new PAR Strategy is still under analysis, it is obvious that the needed funds will exceed considerabl</w:t>
      </w:r>
      <w:r w:rsidR="00D1104C" w:rsidRPr="0092695A">
        <w:t>y</w:t>
      </w:r>
      <w:r w:rsidR="0017600A" w:rsidRPr="0092695A">
        <w:t xml:space="preserve"> the funds available under the 2017 annual programme</w:t>
      </w:r>
      <w:r w:rsidR="00B512BB" w:rsidRPr="0092695A">
        <w:t>)</w:t>
      </w:r>
    </w:p>
    <w:p w:rsidR="00A11352" w:rsidRPr="0092695A" w:rsidRDefault="00D07C04" w:rsidP="0027604C">
      <w:pPr>
        <w:pStyle w:val="Default"/>
        <w:spacing w:before="120"/>
        <w:jc w:val="both"/>
        <w:rPr>
          <w:sz w:val="22"/>
          <w:szCs w:val="22"/>
          <w:lang w:val="en-GB"/>
        </w:rPr>
      </w:pPr>
      <w:r w:rsidRPr="0092695A">
        <w:rPr>
          <w:i/>
          <w:sz w:val="22"/>
          <w:szCs w:val="22"/>
          <w:lang w:val="en-GB"/>
        </w:rPr>
        <w:t xml:space="preserve">Transparency </w:t>
      </w:r>
      <w:r w:rsidR="00927AE9" w:rsidRPr="0092695A">
        <w:rPr>
          <w:i/>
          <w:sz w:val="22"/>
          <w:szCs w:val="22"/>
          <w:lang w:val="en-GB"/>
        </w:rPr>
        <w:t>and accountability</w:t>
      </w:r>
      <w:r w:rsidRPr="0092695A">
        <w:rPr>
          <w:sz w:val="22"/>
          <w:szCs w:val="22"/>
          <w:lang w:val="en-GB"/>
        </w:rPr>
        <w:t>ha</w:t>
      </w:r>
      <w:r w:rsidR="00927AE9" w:rsidRPr="0092695A">
        <w:rPr>
          <w:sz w:val="22"/>
          <w:szCs w:val="22"/>
          <w:lang w:val="en-GB"/>
        </w:rPr>
        <w:t>ve</w:t>
      </w:r>
      <w:r w:rsidRPr="0092695A">
        <w:rPr>
          <w:sz w:val="22"/>
          <w:szCs w:val="22"/>
          <w:lang w:val="en-GB"/>
        </w:rPr>
        <w:t xml:space="preserve"> been </w:t>
      </w:r>
      <w:r w:rsidR="00933978" w:rsidRPr="0092695A">
        <w:rPr>
          <w:sz w:val="22"/>
          <w:szCs w:val="22"/>
          <w:lang w:val="en-GB"/>
        </w:rPr>
        <w:t>highlighted</w:t>
      </w:r>
      <w:r w:rsidRPr="0092695A">
        <w:rPr>
          <w:sz w:val="22"/>
          <w:szCs w:val="22"/>
          <w:lang w:val="en-GB"/>
        </w:rPr>
        <w:t xml:space="preserve"> as a major </w:t>
      </w:r>
      <w:r w:rsidR="004D5527" w:rsidRPr="0092695A">
        <w:rPr>
          <w:sz w:val="22"/>
          <w:szCs w:val="22"/>
          <w:lang w:val="en-GB"/>
        </w:rPr>
        <w:t>challenge</w:t>
      </w:r>
      <w:r w:rsidR="004D5527" w:rsidRPr="0092695A">
        <w:rPr>
          <w:rStyle w:val="FootnoteReference"/>
          <w:sz w:val="22"/>
          <w:szCs w:val="22"/>
        </w:rPr>
        <w:footnoteReference w:id="3"/>
      </w:r>
      <w:r w:rsidR="004D5527" w:rsidRPr="0092695A">
        <w:rPr>
          <w:sz w:val="22"/>
          <w:szCs w:val="22"/>
          <w:lang w:val="en-GB"/>
        </w:rPr>
        <w:t xml:space="preserve">, which affects the functioning and credibility of the democratic institutions, the fundamental rights, the fight against corruption, </w:t>
      </w:r>
      <w:r w:rsidR="00131844" w:rsidRPr="0092695A">
        <w:rPr>
          <w:sz w:val="22"/>
          <w:szCs w:val="22"/>
          <w:lang w:val="en-GB"/>
        </w:rPr>
        <w:t xml:space="preserve">the effective policy-making and dialogue, and </w:t>
      </w:r>
      <w:r w:rsidR="004D5527" w:rsidRPr="0092695A">
        <w:rPr>
          <w:sz w:val="22"/>
          <w:szCs w:val="22"/>
          <w:lang w:val="en-GB"/>
        </w:rPr>
        <w:t xml:space="preserve">the effectiveness of the </w:t>
      </w:r>
      <w:r w:rsidR="00554EB8" w:rsidRPr="0092695A">
        <w:rPr>
          <w:sz w:val="22"/>
          <w:szCs w:val="22"/>
          <w:lang w:val="en-GB"/>
        </w:rPr>
        <w:t>administrative system</w:t>
      </w:r>
      <w:r w:rsidR="00933978" w:rsidRPr="0092695A">
        <w:rPr>
          <w:sz w:val="22"/>
          <w:szCs w:val="22"/>
          <w:lang w:val="en-GB"/>
        </w:rPr>
        <w:t xml:space="preserve"> as a whole</w:t>
      </w:r>
      <w:r w:rsidR="00554EB8" w:rsidRPr="0092695A">
        <w:rPr>
          <w:sz w:val="22"/>
          <w:szCs w:val="22"/>
          <w:lang w:val="en-GB"/>
        </w:rPr>
        <w:t>. Latest assessment</w:t>
      </w:r>
      <w:r w:rsidR="00933978" w:rsidRPr="0092695A">
        <w:rPr>
          <w:rStyle w:val="FootnoteReference"/>
          <w:sz w:val="22"/>
          <w:szCs w:val="22"/>
        </w:rPr>
        <w:footnoteReference w:id="4"/>
      </w:r>
      <w:r w:rsidR="00554EB8" w:rsidRPr="0092695A">
        <w:rPr>
          <w:sz w:val="22"/>
          <w:szCs w:val="22"/>
          <w:lang w:val="en-GB"/>
        </w:rPr>
        <w:t xml:space="preserve"> plac</w:t>
      </w:r>
      <w:r w:rsidR="00933978" w:rsidRPr="0092695A">
        <w:rPr>
          <w:sz w:val="22"/>
          <w:szCs w:val="22"/>
          <w:lang w:val="en-GB"/>
        </w:rPr>
        <w:t>es</w:t>
      </w:r>
      <w:r w:rsidR="00554EB8" w:rsidRPr="0092695A">
        <w:rPr>
          <w:sz w:val="22"/>
          <w:szCs w:val="22"/>
          <w:lang w:val="en-GB"/>
        </w:rPr>
        <w:t xml:space="preserve"> the country </w:t>
      </w:r>
      <w:r w:rsidR="00933978" w:rsidRPr="0092695A">
        <w:rPr>
          <w:sz w:val="22"/>
          <w:szCs w:val="22"/>
          <w:lang w:val="en-GB"/>
        </w:rPr>
        <w:t xml:space="preserve">in the lead of </w:t>
      </w:r>
      <w:r w:rsidRPr="0092695A">
        <w:rPr>
          <w:sz w:val="22"/>
          <w:szCs w:val="22"/>
          <w:lang w:val="en-GB"/>
        </w:rPr>
        <w:t xml:space="preserve">the least transparent </w:t>
      </w:r>
      <w:r w:rsidR="00554EB8" w:rsidRPr="0092695A">
        <w:rPr>
          <w:sz w:val="22"/>
          <w:szCs w:val="22"/>
          <w:lang w:val="en-GB"/>
        </w:rPr>
        <w:t>democrac</w:t>
      </w:r>
      <w:r w:rsidR="00933978" w:rsidRPr="0092695A">
        <w:rPr>
          <w:sz w:val="22"/>
          <w:szCs w:val="22"/>
          <w:lang w:val="en-GB"/>
        </w:rPr>
        <w:t>ies</w:t>
      </w:r>
      <w:r w:rsidRPr="0092695A">
        <w:rPr>
          <w:sz w:val="22"/>
          <w:szCs w:val="22"/>
          <w:lang w:val="en-GB"/>
        </w:rPr>
        <w:t>in the Western Balkans</w:t>
      </w:r>
      <w:r w:rsidR="00927AE9" w:rsidRPr="0092695A">
        <w:rPr>
          <w:sz w:val="22"/>
          <w:szCs w:val="22"/>
          <w:lang w:val="en-GB"/>
        </w:rPr>
        <w:t xml:space="preserve">, which requires urgent and effective measures </w:t>
      </w:r>
      <w:r w:rsidR="0071092A" w:rsidRPr="0092695A">
        <w:rPr>
          <w:sz w:val="22"/>
          <w:szCs w:val="22"/>
          <w:lang w:val="en-GB"/>
        </w:rPr>
        <w:t xml:space="preserve">to be put in place in order </w:t>
      </w:r>
      <w:r w:rsidR="00927AE9" w:rsidRPr="0092695A">
        <w:rPr>
          <w:sz w:val="22"/>
          <w:szCs w:val="22"/>
          <w:lang w:val="en-GB"/>
        </w:rPr>
        <w:t xml:space="preserve">to </w:t>
      </w:r>
      <w:r w:rsidR="0027604C" w:rsidRPr="0092695A">
        <w:rPr>
          <w:sz w:val="22"/>
          <w:szCs w:val="22"/>
          <w:lang w:val="en-GB"/>
        </w:rPr>
        <w:t>counteract the backsliding</w:t>
      </w:r>
      <w:r w:rsidR="00927AE9" w:rsidRPr="0092695A">
        <w:rPr>
          <w:sz w:val="22"/>
          <w:szCs w:val="22"/>
          <w:lang w:val="en-GB"/>
        </w:rPr>
        <w:t xml:space="preserve">. </w:t>
      </w:r>
      <w:r w:rsidR="00A11352" w:rsidRPr="0092695A">
        <w:rPr>
          <w:sz w:val="22"/>
          <w:szCs w:val="22"/>
          <w:lang w:val="en-GB"/>
        </w:rPr>
        <w:t>Serious weaknesses have also been identified as regards the a</w:t>
      </w:r>
      <w:r w:rsidR="0071092A" w:rsidRPr="0092695A">
        <w:rPr>
          <w:sz w:val="22"/>
          <w:szCs w:val="22"/>
          <w:lang w:val="en-GB"/>
        </w:rPr>
        <w:t>ccountability of public administration</w:t>
      </w:r>
      <w:r w:rsidR="00A11352" w:rsidRPr="0092695A">
        <w:rPr>
          <w:sz w:val="22"/>
          <w:szCs w:val="22"/>
          <w:lang w:val="en-GB"/>
        </w:rPr>
        <w:t xml:space="preserve">, in particular as regards the rationality of the organisation of the </w:t>
      </w:r>
      <w:r w:rsidR="00C1546A">
        <w:rPr>
          <w:sz w:val="22"/>
          <w:szCs w:val="22"/>
          <w:lang w:val="en-GB"/>
        </w:rPr>
        <w:t>country's</w:t>
      </w:r>
      <w:r w:rsidR="00A11352" w:rsidRPr="0092695A">
        <w:rPr>
          <w:sz w:val="22"/>
          <w:szCs w:val="22"/>
          <w:lang w:val="en-GB"/>
        </w:rPr>
        <w:t xml:space="preserve">public administration, </w:t>
      </w:r>
      <w:r w:rsidR="004F303F" w:rsidRPr="0092695A">
        <w:rPr>
          <w:sz w:val="22"/>
          <w:szCs w:val="22"/>
          <w:lang w:val="en-GB"/>
        </w:rPr>
        <w:t xml:space="preserve">use of discretionary powers, </w:t>
      </w:r>
      <w:r w:rsidR="00B512BB" w:rsidRPr="0092695A">
        <w:rPr>
          <w:bCs/>
          <w:sz w:val="22"/>
          <w:szCs w:val="22"/>
          <w:lang w:val="en-GB"/>
        </w:rPr>
        <w:t>citizens’ right to access public information and citizens’ right to good administration</w:t>
      </w:r>
      <w:r w:rsidR="00B512BB" w:rsidRPr="0092695A">
        <w:rPr>
          <w:sz w:val="22"/>
          <w:szCs w:val="22"/>
          <w:lang w:val="en-GB"/>
        </w:rPr>
        <w:t>.</w:t>
      </w:r>
    </w:p>
    <w:p w:rsidR="0017600A" w:rsidRPr="0092695A" w:rsidRDefault="00927AE9" w:rsidP="00B512BB">
      <w:pPr>
        <w:pStyle w:val="Default"/>
        <w:spacing w:before="120"/>
        <w:jc w:val="both"/>
        <w:rPr>
          <w:sz w:val="22"/>
          <w:szCs w:val="22"/>
          <w:lang w:val="en-GB"/>
        </w:rPr>
      </w:pPr>
      <w:r w:rsidRPr="0092695A">
        <w:rPr>
          <w:sz w:val="22"/>
          <w:szCs w:val="22"/>
          <w:lang w:val="en-GB"/>
        </w:rPr>
        <w:t xml:space="preserve">The Commission's criticism towards </w:t>
      </w:r>
      <w:r w:rsidRPr="0092695A">
        <w:rPr>
          <w:i/>
          <w:sz w:val="22"/>
          <w:szCs w:val="22"/>
          <w:lang w:val="en-GB"/>
        </w:rPr>
        <w:t>Service delivery to citizens and businesses</w:t>
      </w:r>
      <w:r w:rsidRPr="0092695A">
        <w:rPr>
          <w:sz w:val="22"/>
          <w:szCs w:val="22"/>
          <w:lang w:val="en-GB"/>
        </w:rPr>
        <w:t xml:space="preserve"> is also strong in the 2016 Country Report, which focuses on the modest number of e-services and their low level of sophistication, </w:t>
      </w:r>
      <w:r w:rsidR="00131844" w:rsidRPr="0092695A">
        <w:rPr>
          <w:sz w:val="22"/>
          <w:szCs w:val="22"/>
          <w:lang w:val="en-GB"/>
        </w:rPr>
        <w:t>the lack of o</w:t>
      </w:r>
      <w:r w:rsidRPr="0092695A">
        <w:rPr>
          <w:sz w:val="22"/>
          <w:szCs w:val="22"/>
          <w:lang w:val="en-GB"/>
        </w:rPr>
        <w:t>ne-stop-shop portal</w:t>
      </w:r>
      <w:r w:rsidR="00131844" w:rsidRPr="0092695A">
        <w:rPr>
          <w:sz w:val="22"/>
          <w:szCs w:val="22"/>
          <w:lang w:val="en-GB"/>
        </w:rPr>
        <w:t>, and the inability of the current systems to ensure e</w:t>
      </w:r>
      <w:r w:rsidRPr="0092695A">
        <w:rPr>
          <w:sz w:val="22"/>
          <w:szCs w:val="22"/>
          <w:lang w:val="en-GB"/>
        </w:rPr>
        <w:t>qual access to public services.</w:t>
      </w:r>
      <w:r w:rsidR="00131844" w:rsidRPr="0092695A">
        <w:rPr>
          <w:sz w:val="22"/>
          <w:szCs w:val="22"/>
          <w:lang w:val="en-GB"/>
        </w:rPr>
        <w:t xml:space="preserve"> Shift</w:t>
      </w:r>
      <w:r w:rsidR="00AB6194" w:rsidRPr="0092695A">
        <w:rPr>
          <w:sz w:val="22"/>
          <w:szCs w:val="22"/>
          <w:lang w:val="en-GB"/>
        </w:rPr>
        <w:t xml:space="preserve"> to user-oriented administrati</w:t>
      </w:r>
      <w:r w:rsidR="00E2135B" w:rsidRPr="0092695A">
        <w:rPr>
          <w:sz w:val="22"/>
          <w:szCs w:val="22"/>
          <w:lang w:val="en-GB"/>
        </w:rPr>
        <w:t>on</w:t>
      </w:r>
      <w:r w:rsidR="00AB6194" w:rsidRPr="0092695A">
        <w:rPr>
          <w:sz w:val="22"/>
          <w:szCs w:val="22"/>
          <w:lang w:val="en-GB"/>
        </w:rPr>
        <w:t xml:space="preserve"> in the digital era passes through</w:t>
      </w:r>
      <w:r w:rsidR="00E2135B" w:rsidRPr="0092695A">
        <w:rPr>
          <w:sz w:val="22"/>
          <w:szCs w:val="22"/>
          <w:lang w:val="en-GB"/>
        </w:rPr>
        <w:t xml:space="preserve"> advanced</w:t>
      </w:r>
      <w:r w:rsidR="00AB6194" w:rsidRPr="0092695A">
        <w:rPr>
          <w:sz w:val="22"/>
          <w:szCs w:val="22"/>
          <w:lang w:val="en-GB"/>
        </w:rPr>
        <w:t xml:space="preserve"> e-government</w:t>
      </w:r>
      <w:r w:rsidR="00E2135B" w:rsidRPr="0092695A">
        <w:rPr>
          <w:sz w:val="22"/>
          <w:szCs w:val="22"/>
          <w:lang w:val="en-GB"/>
        </w:rPr>
        <w:t xml:space="preserve"> solutions</w:t>
      </w:r>
      <w:r w:rsidR="00AB6194" w:rsidRPr="0092695A">
        <w:rPr>
          <w:sz w:val="22"/>
          <w:szCs w:val="22"/>
          <w:lang w:val="en-GB"/>
        </w:rPr>
        <w:t>,which</w:t>
      </w:r>
      <w:r w:rsidR="00E2135B" w:rsidRPr="0092695A">
        <w:rPr>
          <w:sz w:val="22"/>
          <w:szCs w:val="22"/>
          <w:lang w:val="en-GB"/>
        </w:rPr>
        <w:t xml:space="preserve"> would</w:t>
      </w:r>
      <w:r w:rsidR="00E2135B" w:rsidRPr="0092695A">
        <w:rPr>
          <w:color w:val="333333"/>
          <w:sz w:val="22"/>
          <w:szCs w:val="22"/>
          <w:lang w:val="en-GB"/>
        </w:rPr>
        <w:t>enable citizens, enterprises and organisations to carry out their business with government more easily,</w:t>
      </w:r>
      <w:r w:rsidR="0006011E" w:rsidRPr="0092695A">
        <w:rPr>
          <w:color w:val="333333"/>
          <w:sz w:val="22"/>
          <w:szCs w:val="22"/>
          <w:lang w:val="en-GB"/>
        </w:rPr>
        <w:t xml:space="preserve"> more quickly and at lower cost. </w:t>
      </w:r>
      <w:r w:rsidR="00AF1A2B" w:rsidRPr="0092695A">
        <w:rPr>
          <w:color w:val="333333"/>
          <w:sz w:val="22"/>
          <w:szCs w:val="22"/>
          <w:lang w:val="en-GB"/>
        </w:rPr>
        <w:t xml:space="preserve">EU intervention in this priority correlates with the SIGMA key short-term recommendations. </w:t>
      </w:r>
      <w:r w:rsidR="0006011E" w:rsidRPr="0092695A">
        <w:rPr>
          <w:color w:val="333333"/>
          <w:sz w:val="22"/>
          <w:szCs w:val="22"/>
          <w:lang w:val="en-GB"/>
        </w:rPr>
        <w:t xml:space="preserve">Apart of </w:t>
      </w:r>
      <w:r w:rsidR="0006011E" w:rsidRPr="0092695A">
        <w:rPr>
          <w:sz w:val="22"/>
          <w:szCs w:val="22"/>
          <w:lang w:val="en-GB"/>
        </w:rPr>
        <w:t xml:space="preserve">improving the </w:t>
      </w:r>
      <w:r w:rsidR="00AB6194" w:rsidRPr="0092695A">
        <w:rPr>
          <w:sz w:val="22"/>
          <w:szCs w:val="22"/>
          <w:lang w:val="en-GB"/>
        </w:rPr>
        <w:t xml:space="preserve">effectiveness </w:t>
      </w:r>
      <w:r w:rsidR="0006011E" w:rsidRPr="0092695A">
        <w:rPr>
          <w:sz w:val="22"/>
          <w:szCs w:val="22"/>
          <w:lang w:val="en-GB"/>
        </w:rPr>
        <w:t>of public administration</w:t>
      </w:r>
      <w:r w:rsidR="003E6DE0" w:rsidRPr="0092695A">
        <w:rPr>
          <w:sz w:val="22"/>
          <w:szCs w:val="22"/>
          <w:lang w:val="en-GB"/>
        </w:rPr>
        <w:t xml:space="preserve">,enhanced </w:t>
      </w:r>
      <w:r w:rsidR="0006011E" w:rsidRPr="0092695A">
        <w:rPr>
          <w:color w:val="333333"/>
          <w:sz w:val="22"/>
          <w:szCs w:val="22"/>
          <w:lang w:val="en-GB"/>
        </w:rPr>
        <w:t xml:space="preserve">e-government </w:t>
      </w:r>
      <w:r w:rsidR="003E6DE0" w:rsidRPr="0092695A">
        <w:rPr>
          <w:color w:val="333333"/>
          <w:sz w:val="22"/>
          <w:szCs w:val="22"/>
          <w:lang w:val="en-GB"/>
        </w:rPr>
        <w:t>will impact on administrative</w:t>
      </w:r>
      <w:r w:rsidR="003E6DE0" w:rsidRPr="0092695A">
        <w:rPr>
          <w:sz w:val="22"/>
          <w:szCs w:val="22"/>
          <w:lang w:val="en-GB"/>
        </w:rPr>
        <w:t xml:space="preserve">transparency;will </w:t>
      </w:r>
      <w:r w:rsidR="0006011E" w:rsidRPr="0092695A">
        <w:rPr>
          <w:sz w:val="22"/>
          <w:szCs w:val="22"/>
          <w:lang w:val="en-GB"/>
        </w:rPr>
        <w:t>decrease</w:t>
      </w:r>
      <w:r w:rsidR="003E6DE0" w:rsidRPr="0092695A">
        <w:rPr>
          <w:sz w:val="22"/>
          <w:szCs w:val="22"/>
          <w:lang w:val="en-GB"/>
        </w:rPr>
        <w:t xml:space="preserve"> the</w:t>
      </w:r>
      <w:r w:rsidR="0006011E" w:rsidRPr="0092695A">
        <w:rPr>
          <w:sz w:val="22"/>
          <w:szCs w:val="22"/>
          <w:lang w:val="en-GB"/>
        </w:rPr>
        <w:t xml:space="preserve"> risks for corruption, </w:t>
      </w:r>
      <w:r w:rsidR="003E6DE0" w:rsidRPr="0092695A">
        <w:rPr>
          <w:sz w:val="22"/>
          <w:szCs w:val="22"/>
          <w:lang w:val="en-GB"/>
        </w:rPr>
        <w:t xml:space="preserve">strengthen the </w:t>
      </w:r>
      <w:r w:rsidR="00E2135B" w:rsidRPr="0092695A">
        <w:rPr>
          <w:sz w:val="22"/>
          <w:szCs w:val="22"/>
          <w:lang w:val="en-GB"/>
        </w:rPr>
        <w:t>credibility of the public administration</w:t>
      </w:r>
      <w:r w:rsidR="003E6DE0" w:rsidRPr="0092695A">
        <w:rPr>
          <w:sz w:val="22"/>
          <w:szCs w:val="22"/>
          <w:lang w:val="en-GB"/>
        </w:rPr>
        <w:t xml:space="preserve"> and</w:t>
      </w:r>
      <w:r w:rsidR="00E2135B" w:rsidRPr="0092695A">
        <w:rPr>
          <w:sz w:val="22"/>
          <w:szCs w:val="22"/>
          <w:lang w:val="en-GB"/>
        </w:rPr>
        <w:t xml:space="preserve"> restor</w:t>
      </w:r>
      <w:r w:rsidR="003E6DE0" w:rsidRPr="0092695A">
        <w:rPr>
          <w:sz w:val="22"/>
          <w:szCs w:val="22"/>
          <w:lang w:val="en-GB"/>
        </w:rPr>
        <w:t>e</w:t>
      </w:r>
      <w:r w:rsidR="00E2135B" w:rsidRPr="0092695A">
        <w:rPr>
          <w:sz w:val="22"/>
          <w:szCs w:val="22"/>
          <w:lang w:val="en-GB"/>
        </w:rPr>
        <w:t xml:space="preserve"> citizen's confidence</w:t>
      </w:r>
      <w:r w:rsidR="0006011E" w:rsidRPr="0092695A">
        <w:rPr>
          <w:sz w:val="22"/>
          <w:szCs w:val="22"/>
          <w:lang w:val="en-GB"/>
        </w:rPr>
        <w:t xml:space="preserve"> in state systems. </w:t>
      </w:r>
    </w:p>
    <w:p w:rsidR="00866D23" w:rsidRPr="0092695A" w:rsidRDefault="00866D23" w:rsidP="00E330CC">
      <w:pPr>
        <w:pStyle w:val="Default"/>
        <w:spacing w:before="120"/>
        <w:jc w:val="both"/>
        <w:rPr>
          <w:sz w:val="22"/>
          <w:szCs w:val="22"/>
          <w:lang w:val="en-GB"/>
        </w:rPr>
      </w:pPr>
      <w:r w:rsidRPr="0092695A">
        <w:rPr>
          <w:sz w:val="22"/>
          <w:szCs w:val="22"/>
          <w:lang w:val="en-GB"/>
        </w:rPr>
        <w:t xml:space="preserve">As regards </w:t>
      </w:r>
      <w:r w:rsidRPr="0092695A">
        <w:rPr>
          <w:i/>
          <w:sz w:val="22"/>
          <w:szCs w:val="22"/>
          <w:lang w:val="en-GB"/>
        </w:rPr>
        <w:t xml:space="preserve">Public service and Human Resource Management, </w:t>
      </w:r>
      <w:r w:rsidRPr="0092695A">
        <w:rPr>
          <w:sz w:val="22"/>
          <w:szCs w:val="22"/>
          <w:lang w:val="en-GB"/>
        </w:rPr>
        <w:t xml:space="preserve">strong criticism has been expressed over thehigh levels of politicisation, the failure of the state to ensure equitable representation, the inconsistency in the </w:t>
      </w:r>
      <w:r w:rsidRPr="0092695A">
        <w:rPr>
          <w:bCs/>
          <w:sz w:val="22"/>
          <w:szCs w:val="22"/>
          <w:lang w:val="en-GB"/>
        </w:rPr>
        <w:t xml:space="preserve">remuneration system and in the </w:t>
      </w:r>
      <w:r w:rsidRPr="0092695A">
        <w:rPr>
          <w:sz w:val="22"/>
          <w:szCs w:val="22"/>
          <w:lang w:val="en-GB"/>
        </w:rPr>
        <w:t>application the principle of merit. These issues will rather be addressed through the high-level policy dialogue between the state and the Commission</w:t>
      </w:r>
      <w:r w:rsidR="0091697C" w:rsidRPr="0092695A">
        <w:rPr>
          <w:sz w:val="22"/>
          <w:szCs w:val="22"/>
          <w:lang w:val="en-GB"/>
        </w:rPr>
        <w:t xml:space="preserve"> for </w:t>
      </w:r>
      <w:r w:rsidR="008634EE" w:rsidRPr="0092695A">
        <w:rPr>
          <w:sz w:val="22"/>
          <w:szCs w:val="22"/>
          <w:lang w:val="en-GB"/>
        </w:rPr>
        <w:t>two</w:t>
      </w:r>
      <w:r w:rsidR="0091697C" w:rsidRPr="0092695A">
        <w:rPr>
          <w:sz w:val="22"/>
          <w:szCs w:val="22"/>
          <w:lang w:val="en-GB"/>
        </w:rPr>
        <w:t xml:space="preserve"> reasons: 1). due to the limitation of the impact of the technical tools on state capture, and 2) because </w:t>
      </w:r>
      <w:r w:rsidRPr="0092695A">
        <w:rPr>
          <w:sz w:val="22"/>
          <w:szCs w:val="22"/>
          <w:lang w:val="en-GB"/>
        </w:rPr>
        <w:t>the needed legislative framework is already in place and the implementation of the new legislation on human resources management started.</w:t>
      </w:r>
      <w:r w:rsidRPr="0092695A">
        <w:rPr>
          <w:rStyle w:val="FootnoteReference"/>
          <w:sz w:val="22"/>
          <w:szCs w:val="22"/>
          <w:lang w:val="en-GB"/>
        </w:rPr>
        <w:footnoteReference w:id="5"/>
      </w:r>
      <w:r w:rsidR="00014DD2" w:rsidRPr="0092695A">
        <w:rPr>
          <w:sz w:val="22"/>
          <w:szCs w:val="22"/>
          <w:lang w:val="en-GB"/>
        </w:rPr>
        <w:t>T</w:t>
      </w:r>
      <w:r w:rsidRPr="0092695A">
        <w:rPr>
          <w:sz w:val="22"/>
          <w:szCs w:val="22"/>
          <w:lang w:val="en-GB"/>
        </w:rPr>
        <w:t xml:space="preserve">he main success factor in addressing this priority remains the strong political commitment of the country decision-makers to the reform of the public administration. In the absence of a stable government, such commitment should not be taken for granted. Therefore, the adoption of the new PAR Strategy has been included as a pre-condition for the implementation of this action and any EU support will be put in operation only after a clear engagement by the government on priorities, measures, indicators, targets and funds. In addition, a number of policy-dialogue mechanisms such as the High Level Accession Dialogue, the Urgent Reform Priorities and the Special PAR Group, have already been put in use to ensure the effectiveness of the policy dialogue between the country and the Commission. Yet, a very important aspect of this priority – namely the extent to which integrity and anti-corruption systems are in place – cannot be overlooked and have been </w:t>
      </w:r>
      <w:r w:rsidR="00C52B80" w:rsidRPr="0092695A">
        <w:rPr>
          <w:sz w:val="22"/>
          <w:szCs w:val="22"/>
          <w:lang w:val="en-GB"/>
        </w:rPr>
        <w:t>targeted</w:t>
      </w:r>
      <w:r w:rsidRPr="0092695A">
        <w:rPr>
          <w:sz w:val="22"/>
          <w:szCs w:val="22"/>
          <w:lang w:val="en-GB"/>
        </w:rPr>
        <w:t xml:space="preserve"> in this proposed action. </w:t>
      </w:r>
    </w:p>
    <w:p w:rsidR="007D68AB" w:rsidRPr="0092695A" w:rsidRDefault="004817A8" w:rsidP="00E330CC">
      <w:pPr>
        <w:pStyle w:val="Default"/>
        <w:spacing w:before="120"/>
        <w:jc w:val="both"/>
        <w:rPr>
          <w:bCs/>
          <w:sz w:val="22"/>
          <w:szCs w:val="22"/>
          <w:lang w:val="en-GB"/>
        </w:rPr>
      </w:pPr>
      <w:r w:rsidRPr="0092695A">
        <w:rPr>
          <w:sz w:val="22"/>
          <w:szCs w:val="22"/>
          <w:lang w:val="en-GB"/>
        </w:rPr>
        <w:t xml:space="preserve">As </w:t>
      </w:r>
      <w:r w:rsidR="00927AE9" w:rsidRPr="0092695A">
        <w:rPr>
          <w:sz w:val="22"/>
          <w:szCs w:val="22"/>
          <w:lang w:val="en-GB"/>
        </w:rPr>
        <w:t xml:space="preserve">regards </w:t>
      </w:r>
      <w:r w:rsidR="00927AE9" w:rsidRPr="0092695A">
        <w:rPr>
          <w:i/>
          <w:sz w:val="22"/>
          <w:szCs w:val="22"/>
          <w:lang w:val="en-GB"/>
        </w:rPr>
        <w:t>Policy development and coordination</w:t>
      </w:r>
      <w:r w:rsidR="00927AE9" w:rsidRPr="0092695A">
        <w:rPr>
          <w:sz w:val="22"/>
          <w:szCs w:val="22"/>
          <w:lang w:val="en-GB"/>
        </w:rPr>
        <w:t xml:space="preserve">, </w:t>
      </w:r>
      <w:r w:rsidRPr="0092695A">
        <w:rPr>
          <w:sz w:val="22"/>
          <w:szCs w:val="22"/>
          <w:lang w:val="en-GB"/>
        </w:rPr>
        <w:t xml:space="preserve">the 2016 Commission country report is less critical outlining that "The </w:t>
      </w:r>
      <w:r w:rsidR="00927AE9" w:rsidRPr="0092695A">
        <w:rPr>
          <w:sz w:val="22"/>
          <w:szCs w:val="22"/>
          <w:lang w:val="en-GB"/>
        </w:rPr>
        <w:t xml:space="preserve">legal framework and institutional structures continued to ensure a coherent </w:t>
      </w:r>
      <w:r w:rsidR="00927AE9" w:rsidRPr="0092695A">
        <w:rPr>
          <w:bCs/>
          <w:sz w:val="22"/>
          <w:szCs w:val="22"/>
          <w:lang w:val="en-GB"/>
        </w:rPr>
        <w:t>policy-making system</w:t>
      </w:r>
      <w:r w:rsidRPr="0092695A">
        <w:rPr>
          <w:bCs/>
          <w:sz w:val="22"/>
          <w:szCs w:val="22"/>
          <w:lang w:val="en-GB"/>
        </w:rPr>
        <w:t>.</w:t>
      </w:r>
      <w:r w:rsidRPr="0092695A">
        <w:rPr>
          <w:sz w:val="22"/>
          <w:szCs w:val="22"/>
          <w:lang w:val="en-GB"/>
        </w:rPr>
        <w:t xml:space="preserve"> A medium-term policy planning system is in place and strategies now include more information on their financing".</w:t>
      </w:r>
      <w:r w:rsidR="00E330CC" w:rsidRPr="0092695A">
        <w:rPr>
          <w:sz w:val="22"/>
          <w:szCs w:val="22"/>
          <w:lang w:val="en-GB"/>
        </w:rPr>
        <w:t xml:space="preserve"> As a response to the finding </w:t>
      </w:r>
      <w:r w:rsidR="00933978" w:rsidRPr="0092695A">
        <w:rPr>
          <w:sz w:val="22"/>
          <w:szCs w:val="22"/>
          <w:lang w:val="en-GB"/>
        </w:rPr>
        <w:t xml:space="preserve">that "Sectoral planning needs to be improved, also in view of receiving EU assistance", </w:t>
      </w:r>
      <w:r w:rsidR="00E330CC" w:rsidRPr="0092695A">
        <w:rPr>
          <w:sz w:val="22"/>
          <w:szCs w:val="22"/>
          <w:lang w:val="en-GB"/>
        </w:rPr>
        <w:t xml:space="preserve">the country has established sector working groups, which focus the sector dialogue on priorities, challenges and achievement involving all stakeholders. In addition, </w:t>
      </w:r>
      <w:r w:rsidR="00933978" w:rsidRPr="0092695A">
        <w:rPr>
          <w:sz w:val="22"/>
          <w:szCs w:val="22"/>
          <w:lang w:val="en-GB"/>
        </w:rPr>
        <w:t>a</w:t>
      </w:r>
      <w:r w:rsidR="007D68AB" w:rsidRPr="0092695A">
        <w:rPr>
          <w:sz w:val="22"/>
          <w:szCs w:val="22"/>
          <w:lang w:val="en-GB"/>
        </w:rPr>
        <w:t xml:space="preserve"> major EU project</w:t>
      </w:r>
      <w:r w:rsidR="00933978" w:rsidRPr="0092695A">
        <w:rPr>
          <w:rStyle w:val="FootnoteReference"/>
          <w:sz w:val="22"/>
          <w:szCs w:val="22"/>
        </w:rPr>
        <w:footnoteReference w:id="6"/>
      </w:r>
      <w:r w:rsidR="0017600A" w:rsidRPr="0092695A">
        <w:rPr>
          <w:sz w:val="22"/>
          <w:szCs w:val="22"/>
          <w:lang w:val="en-GB"/>
        </w:rPr>
        <w:t>(</w:t>
      </w:r>
      <w:r w:rsidR="007D68AB" w:rsidRPr="0092695A">
        <w:rPr>
          <w:sz w:val="22"/>
          <w:szCs w:val="22"/>
          <w:lang w:val="en-GB"/>
        </w:rPr>
        <w:t>2,75 MEUR</w:t>
      </w:r>
      <w:r w:rsidR="0017600A" w:rsidRPr="0092695A">
        <w:rPr>
          <w:sz w:val="22"/>
          <w:szCs w:val="22"/>
          <w:lang w:val="en-GB"/>
        </w:rPr>
        <w:t xml:space="preserve">) will start in June 2017 to </w:t>
      </w:r>
      <w:r w:rsidR="00933978" w:rsidRPr="0092695A">
        <w:rPr>
          <w:sz w:val="22"/>
          <w:szCs w:val="22"/>
          <w:lang w:val="en-GB"/>
        </w:rPr>
        <w:t>improv</w:t>
      </w:r>
      <w:r w:rsidR="0017600A" w:rsidRPr="0092695A">
        <w:rPr>
          <w:sz w:val="22"/>
          <w:szCs w:val="22"/>
          <w:lang w:val="en-GB"/>
        </w:rPr>
        <w:t>e</w:t>
      </w:r>
      <w:r w:rsidR="007D68AB" w:rsidRPr="0092695A">
        <w:rPr>
          <w:sz w:val="22"/>
          <w:szCs w:val="22"/>
          <w:lang w:val="en-GB"/>
        </w:rPr>
        <w:t xml:space="preserve"> strategic planning </w:t>
      </w:r>
      <w:r w:rsidR="00933978" w:rsidRPr="0092695A">
        <w:rPr>
          <w:sz w:val="22"/>
          <w:szCs w:val="22"/>
          <w:lang w:val="en-GB"/>
        </w:rPr>
        <w:t>and</w:t>
      </w:r>
      <w:r w:rsidR="007D68AB" w:rsidRPr="0092695A">
        <w:rPr>
          <w:sz w:val="22"/>
          <w:szCs w:val="22"/>
          <w:lang w:val="en-GB"/>
        </w:rPr>
        <w:t xml:space="preserve"> programming of EU and public funds </w:t>
      </w:r>
      <w:r w:rsidR="00933978" w:rsidRPr="0092695A">
        <w:rPr>
          <w:sz w:val="22"/>
          <w:szCs w:val="22"/>
          <w:lang w:val="en-GB"/>
        </w:rPr>
        <w:t>across all</w:t>
      </w:r>
      <w:r w:rsidR="007D68AB" w:rsidRPr="0092695A">
        <w:rPr>
          <w:sz w:val="22"/>
          <w:szCs w:val="22"/>
          <w:lang w:val="en-GB"/>
        </w:rPr>
        <w:t xml:space="preserve"> sectors</w:t>
      </w:r>
      <w:r w:rsidR="00E330CC" w:rsidRPr="0092695A">
        <w:rPr>
          <w:sz w:val="22"/>
          <w:szCs w:val="22"/>
          <w:lang w:val="en-GB"/>
        </w:rPr>
        <w:t xml:space="preserve"> and ensure inclusive approach in policy-making in line with the better regulation principles</w:t>
      </w:r>
      <w:r w:rsidR="007D68AB" w:rsidRPr="0092695A">
        <w:rPr>
          <w:sz w:val="22"/>
          <w:szCs w:val="22"/>
          <w:lang w:val="en-GB"/>
        </w:rPr>
        <w:t xml:space="preserve">. </w:t>
      </w:r>
      <w:r w:rsidR="00E330CC" w:rsidRPr="0092695A">
        <w:rPr>
          <w:sz w:val="22"/>
          <w:szCs w:val="22"/>
          <w:lang w:val="en-GB"/>
        </w:rPr>
        <w:t xml:space="preserve">In addition, the proposed EU investments in transparency and in statistics are also expected to result into </w:t>
      </w:r>
      <w:r w:rsidR="00E330CC" w:rsidRPr="0092695A">
        <w:rPr>
          <w:bCs/>
          <w:sz w:val="22"/>
          <w:szCs w:val="22"/>
          <w:lang w:val="en-GB"/>
        </w:rPr>
        <w:t>inclusive and evidence-based policy making and legislative development and increased public scrutiny over government work</w:t>
      </w:r>
      <w:r w:rsidR="00174E34" w:rsidRPr="0092695A">
        <w:rPr>
          <w:bCs/>
          <w:sz w:val="22"/>
          <w:szCs w:val="22"/>
          <w:lang w:val="en-GB"/>
        </w:rPr>
        <w:t>.</w:t>
      </w:r>
    </w:p>
    <w:p w:rsidR="00CE6B45" w:rsidRPr="0092695A" w:rsidRDefault="00C73791" w:rsidP="00B512BB">
      <w:pPr>
        <w:pStyle w:val="ActionDocument"/>
        <w:spacing w:after="0"/>
        <w:ind w:right="57"/>
      </w:pPr>
      <w:r w:rsidRPr="0092695A">
        <w:t xml:space="preserve">As regards priority </w:t>
      </w:r>
      <w:r w:rsidRPr="0092695A">
        <w:rPr>
          <w:i/>
        </w:rPr>
        <w:t xml:space="preserve">Strategic Framework of Public Administration Reform, </w:t>
      </w:r>
      <w:r w:rsidRPr="0092695A">
        <w:t>the country has advanced in t</w:t>
      </w:r>
      <w:r w:rsidR="007D68AB" w:rsidRPr="0092695A">
        <w:t xml:space="preserve">he preparation of the new PAR Strategy with a first draft under consultation with the Commission, OECD/SIGMA and national stakeholders. </w:t>
      </w:r>
      <w:r w:rsidRPr="0092695A">
        <w:t xml:space="preserve">Similar to the priority above, the political commitment to PAR is essential for the adoption </w:t>
      </w:r>
      <w:r w:rsidR="0071092A" w:rsidRPr="0092695A">
        <w:t>and</w:t>
      </w:r>
      <w:r w:rsidRPr="0092695A">
        <w:t xml:space="preserve"> implementation of the new Strategy.</w:t>
      </w:r>
      <w:r w:rsidR="0071092A" w:rsidRPr="0092695A">
        <w:t xml:space="preserve"> This issue will also be a part of the policy dialogue since at this stage EU support was already allocated for the development of the new PAR Strategy. </w:t>
      </w:r>
    </w:p>
    <w:p w:rsidR="007D68AB" w:rsidRPr="0092695A" w:rsidRDefault="007D68AB" w:rsidP="00933978">
      <w:pPr>
        <w:pStyle w:val="ActionDocument"/>
      </w:pPr>
    </w:p>
    <w:p w:rsidR="00EE5CE6" w:rsidRPr="0092695A" w:rsidRDefault="00EE5CE6" w:rsidP="00933978">
      <w:pPr>
        <w:pStyle w:val="ActionDocument"/>
        <w:rPr>
          <w:b/>
        </w:rPr>
      </w:pPr>
      <w:r w:rsidRPr="0092695A">
        <w:rPr>
          <w:b/>
        </w:rPr>
        <w:t>Accountability and Transparency</w:t>
      </w:r>
    </w:p>
    <w:p w:rsidR="00971D22" w:rsidRPr="0092695A" w:rsidRDefault="00971D22" w:rsidP="00971D22">
      <w:pPr>
        <w:pStyle w:val="ActionDocument"/>
      </w:pPr>
      <w:r w:rsidRPr="0092695A">
        <w:t>Recent analysis and assessments</w:t>
      </w:r>
      <w:r w:rsidRPr="0092695A">
        <w:rPr>
          <w:rStyle w:val="FootnoteReference"/>
        </w:rPr>
        <w:footnoteReference w:id="7"/>
      </w:r>
      <w:r w:rsidRPr="0092695A">
        <w:t xml:space="preserve"> identify </w:t>
      </w:r>
      <w:r w:rsidR="007C4B77" w:rsidRPr="0092695A">
        <w:t xml:space="preserve">two </w:t>
      </w:r>
      <w:r w:rsidR="00727D56" w:rsidRPr="0092695A">
        <w:t>serious</w:t>
      </w:r>
      <w:r w:rsidRPr="0092695A">
        <w:t xml:space="preserve"> weaknesses</w:t>
      </w:r>
      <w:r w:rsidR="00727D56" w:rsidRPr="0092695A">
        <w:t xml:space="preserve"> in the implementation of key </w:t>
      </w:r>
      <w:r w:rsidR="007C4B77" w:rsidRPr="0092695A">
        <w:t xml:space="preserve">principles </w:t>
      </w:r>
      <w:r w:rsidR="00727D56" w:rsidRPr="0092695A">
        <w:t>of public administration</w:t>
      </w:r>
      <w:r w:rsidR="00D06BD6" w:rsidRPr="0092695A">
        <w:t xml:space="preserve">, which need to be addressed as a </w:t>
      </w:r>
      <w:r w:rsidR="00B661DF" w:rsidRPr="0092695A">
        <w:t>matter</w:t>
      </w:r>
      <w:r w:rsidR="00D06BD6" w:rsidRPr="0092695A">
        <w:t xml:space="preserve"> of urgency</w:t>
      </w:r>
      <w:r w:rsidRPr="0092695A">
        <w:t>:</w:t>
      </w:r>
    </w:p>
    <w:p w:rsidR="00971D22" w:rsidRPr="0092695A" w:rsidRDefault="00971D22" w:rsidP="00971D22">
      <w:pPr>
        <w:pStyle w:val="ActionDocument"/>
        <w:numPr>
          <w:ilvl w:val="0"/>
          <w:numId w:val="27"/>
        </w:numPr>
        <w:spacing w:before="0" w:after="0"/>
      </w:pPr>
      <w:r w:rsidRPr="0092695A">
        <w:t>Lack of rationality in the organisation of the state administration, overlapping responsibilities and mandates</w:t>
      </w:r>
      <w:r w:rsidR="00727D56" w:rsidRPr="0092695A">
        <w:t>.</w:t>
      </w:r>
    </w:p>
    <w:p w:rsidR="001E65B8" w:rsidRPr="0092695A" w:rsidRDefault="00B661DF" w:rsidP="00727D56">
      <w:pPr>
        <w:pStyle w:val="ActionDocument"/>
        <w:ind w:left="720"/>
      </w:pPr>
      <w:r w:rsidRPr="0092695A">
        <w:t>The fragmentation of the administrative structure and responsibilities result</w:t>
      </w:r>
      <w:r w:rsidR="00727D56" w:rsidRPr="0092695A">
        <w:t>s</w:t>
      </w:r>
      <w:r w:rsidRPr="0092695A">
        <w:t xml:space="preserve"> into duplication of functionalities, weakens the accountability, decreases the effectiveness of the implementation of administrative functions and of the control mechanisms. Further on, the fragmentation </w:t>
      </w:r>
      <w:r w:rsidRPr="0092695A">
        <w:rPr>
          <w:lang w:val="en-US"/>
        </w:rPr>
        <w:t xml:space="preserve">has a negative impact on policy-making (as demonstrated in the development of the new PAR Strategy, which suffered the duplication and overlapping </w:t>
      </w:r>
      <w:r w:rsidRPr="0092695A">
        <w:t xml:space="preserve">in </w:t>
      </w:r>
      <w:r w:rsidRPr="0092695A">
        <w:rPr>
          <w:lang w:val="en-US"/>
        </w:rPr>
        <w:t xml:space="preserve">the </w:t>
      </w:r>
      <w:r w:rsidRPr="0092695A">
        <w:t xml:space="preserve">competences </w:t>
      </w:r>
      <w:r w:rsidRPr="0092695A">
        <w:rPr>
          <w:lang w:val="en-US"/>
        </w:rPr>
        <w:t xml:space="preserve">attributed to the various administrative bodies). </w:t>
      </w:r>
      <w:r w:rsidRPr="0092695A">
        <w:t xml:space="preserve">Effective lines of accountability need </w:t>
      </w:r>
      <w:r w:rsidR="00C1546A">
        <w:t xml:space="preserve">to </w:t>
      </w:r>
      <w:r w:rsidRPr="0092695A">
        <w:t>be put in place between and within the institutions</w:t>
      </w:r>
      <w:r w:rsidRPr="0092695A">
        <w:rPr>
          <w:lang w:val="en-US"/>
        </w:rPr>
        <w:t xml:space="preserve">, to empower top and middle management levels, improve transparency of administrative bodies, and decrease the risk of </w:t>
      </w:r>
      <w:r w:rsidRPr="0092695A">
        <w:t xml:space="preserve">politicisation </w:t>
      </w:r>
      <w:r w:rsidRPr="0092695A">
        <w:rPr>
          <w:lang w:val="en-US"/>
        </w:rPr>
        <w:t xml:space="preserve">of the public service. This passes through anoverall </w:t>
      </w:r>
      <w:r w:rsidRPr="0092695A">
        <w:t xml:space="preserve">reorganisation of the institutions, administrative bodies and inspection services. </w:t>
      </w:r>
      <w:r w:rsidRPr="0092695A">
        <w:rPr>
          <w:lang w:val="en-US"/>
        </w:rPr>
        <w:t xml:space="preserve"> Institutional framework needs to be streamlined and optimized</w:t>
      </w:r>
      <w:r w:rsidRPr="0092695A">
        <w:t xml:space="preserve">. Comprehensive functional review is necessary to assess the rationality of the state administrative organisation and support for necessary adjustments. This has to be backed up with the development of new legislation and/or amendments of the existing laws. </w:t>
      </w:r>
      <w:r w:rsidR="001E65B8" w:rsidRPr="0092695A">
        <w:t xml:space="preserve">The revision of the overall structure of the state administration corresponds to the key SIGMA short-term </w:t>
      </w:r>
      <w:r w:rsidR="002C0AE0" w:rsidRPr="0092695A">
        <w:t>recommendation (</w:t>
      </w:r>
      <w:r w:rsidR="001E65B8" w:rsidRPr="0092695A">
        <w:t>2015 assessment).</w:t>
      </w:r>
    </w:p>
    <w:p w:rsidR="001E65B8" w:rsidRPr="0092695A" w:rsidRDefault="002C0AE0" w:rsidP="001E65B8">
      <w:pPr>
        <w:pStyle w:val="ActionDocument"/>
        <w:ind w:left="720"/>
      </w:pPr>
      <w:r w:rsidRPr="0092695A">
        <w:t>In addition, the system of discretionary powers should be revised to allow</w:t>
      </w:r>
      <w:r w:rsidR="001E65B8" w:rsidRPr="0092695A">
        <w:t xml:space="preserve"> the application of discretionary po</w:t>
      </w:r>
      <w:r w:rsidRPr="0092695A">
        <w:t xml:space="preserve">wers in a legal and just manner. For this purpose, </w:t>
      </w:r>
      <w:r w:rsidR="001E65B8" w:rsidRPr="0092695A">
        <w:t>it is important to strengthen the routine for taking decisions and enforce the control over discretionary powers. This processes passes through a review and analysis of the regulations establishing discretionary powers, followed by legislative modifications and their implementation in practice. In this sense, discretionary authorities will need to establish written procedures and criteria for decision making in line with the internal control systems. This is the necessary ground to ensure that discretionary powers are subject to internal and external audit as well as oversight by the independent institutions i.e. Ombudsman.</w:t>
      </w:r>
    </w:p>
    <w:p w:rsidR="001E65B8" w:rsidRPr="0092695A" w:rsidRDefault="00C1546A" w:rsidP="00727D56">
      <w:pPr>
        <w:pStyle w:val="ActionDocument"/>
        <w:ind w:left="720"/>
      </w:pPr>
      <w:r>
        <w:t xml:space="preserve">In parallel, </w:t>
      </w:r>
      <w:r w:rsidRPr="0092695A">
        <w:t xml:space="preserve">managerial </w:t>
      </w:r>
      <w:r w:rsidR="00B661DF" w:rsidRPr="0092695A">
        <w:t>accountability at institutional level</w:t>
      </w:r>
      <w:r w:rsidR="009816EB" w:rsidRPr="0092695A">
        <w:t xml:space="preserve"> also</w:t>
      </w:r>
      <w:r w:rsidR="00B661DF" w:rsidRPr="0092695A">
        <w:t xml:space="preserve"> needs to be systematically enhanced and delegation lines strengthened along with consolidation of the internal control systems. This issuewill be addressed in the 2018 annual programme, through the planned PFM-related action</w:t>
      </w:r>
      <w:r w:rsidR="00417014">
        <w:t>.</w:t>
      </w:r>
    </w:p>
    <w:p w:rsidR="00B661DF" w:rsidRPr="0092695A" w:rsidRDefault="00B661DF" w:rsidP="00727D56">
      <w:pPr>
        <w:pStyle w:val="ActionDocument"/>
        <w:spacing w:before="0" w:after="0"/>
        <w:ind w:left="720"/>
      </w:pPr>
    </w:p>
    <w:p w:rsidR="00727D56" w:rsidRPr="0092695A" w:rsidRDefault="00727D56" w:rsidP="00727D56">
      <w:pPr>
        <w:pStyle w:val="ActionDocument"/>
        <w:numPr>
          <w:ilvl w:val="0"/>
          <w:numId w:val="27"/>
        </w:numPr>
        <w:spacing w:before="0" w:after="0"/>
        <w:rPr>
          <w:rStyle w:val="Hyperlink"/>
          <w:color w:val="auto"/>
          <w:u w:val="none"/>
        </w:rPr>
      </w:pPr>
      <w:r w:rsidRPr="0092695A">
        <w:t>Insufficient enforcement of the citizens’ right to access public information;</w:t>
      </w:r>
    </w:p>
    <w:p w:rsidR="00727D56" w:rsidRPr="0092695A" w:rsidRDefault="00727D56" w:rsidP="00727D56">
      <w:pPr>
        <w:pStyle w:val="Default"/>
        <w:spacing w:before="120"/>
        <w:ind w:left="720"/>
        <w:jc w:val="both"/>
        <w:rPr>
          <w:sz w:val="22"/>
          <w:szCs w:val="22"/>
          <w:lang w:val="en-GB"/>
        </w:rPr>
      </w:pPr>
      <w:r w:rsidRPr="0092695A">
        <w:rPr>
          <w:sz w:val="22"/>
          <w:szCs w:val="22"/>
          <w:lang w:val="en-GB"/>
        </w:rPr>
        <w:t>The access to public information is regulated by the Law on Free Access to Public Information and the right of information is enshrined in the constitution. Although the needed constitutional and legal framework exists, lack of clear provisions detailing the obligations of the public bodies to publish the required information leaves room for different interpretation on how to address the transparency principle in the public sector. In theory, the public institutions are obliged to feed respective web locations/ pages on a daily bas</w:t>
      </w:r>
      <w:r w:rsidR="00B0442F" w:rsidRPr="0092695A">
        <w:rPr>
          <w:sz w:val="22"/>
          <w:szCs w:val="22"/>
          <w:lang w:val="en-GB"/>
        </w:rPr>
        <w:t>i</w:t>
      </w:r>
      <w:r w:rsidRPr="0092695A">
        <w:rPr>
          <w:sz w:val="22"/>
          <w:szCs w:val="22"/>
          <w:lang w:val="en-GB"/>
        </w:rPr>
        <w:t>s. In practice, relevant publications are often missing or published with considerable delays. Developing and adopting transparency standards and monitoring of their implementation can significantly enhance transparency in the public sector.</w:t>
      </w:r>
    </w:p>
    <w:p w:rsidR="00727D56" w:rsidRPr="0092695A" w:rsidRDefault="00727D56" w:rsidP="00727D56">
      <w:pPr>
        <w:pStyle w:val="ActionDocument"/>
        <w:ind w:left="720"/>
      </w:pPr>
      <w:r w:rsidRPr="0092695A">
        <w:t xml:space="preserve">By the law, the Commission for Protection of the Right to Free Access to Public Information is in charge of providing methodological guidance on the implementation of the transparency principle to the public institutions, training them on regular basis and monitoring of the access to public information. Yet, in order to implement this function, the Commission needs to upgrade its capacities to monitor, analyse and report on transparency across the public sector. Since all 1278 public institutions are information holders obliged to submit annual reports to the Commission, it is important to improve the IT system of </w:t>
      </w:r>
      <w:r w:rsidR="00C1546A">
        <w:t xml:space="preserve">the </w:t>
      </w:r>
      <w:r w:rsidRPr="0092695A">
        <w:t>Commission to allow for quicker and more comprehensive process for production of representative statistics on free access to public information and ensure law enforcement.</w:t>
      </w:r>
    </w:p>
    <w:p w:rsidR="00727D56" w:rsidRPr="0092695A" w:rsidRDefault="00727D56" w:rsidP="00727D56">
      <w:pPr>
        <w:pStyle w:val="ActionDocument"/>
        <w:ind w:left="720"/>
      </w:pPr>
      <w:r w:rsidRPr="0092695A">
        <w:t>Another important aspect of transparency is linked to behaviour of public bodies upon request for specific information by third parties. The “</w:t>
      </w:r>
      <w:r w:rsidRPr="0092695A">
        <w:rPr>
          <w:i/>
        </w:rPr>
        <w:t>silence of the administration</w:t>
      </w:r>
      <w:r w:rsidRPr="0092695A">
        <w:t>” paired with excessive use of the terms “</w:t>
      </w:r>
      <w:r w:rsidRPr="0092695A">
        <w:rPr>
          <w:i/>
        </w:rPr>
        <w:t>classified</w:t>
      </w:r>
      <w:r w:rsidRPr="0092695A">
        <w:t>”, “</w:t>
      </w:r>
      <w:r w:rsidRPr="0092695A">
        <w:rPr>
          <w:i/>
        </w:rPr>
        <w:t>confidential</w:t>
      </w:r>
      <w:r w:rsidRPr="0092695A">
        <w:t>” or “</w:t>
      </w:r>
      <w:r w:rsidRPr="0092695A">
        <w:rPr>
          <w:i/>
        </w:rPr>
        <w:t>internal</w:t>
      </w:r>
      <w:r w:rsidRPr="0092695A">
        <w:t>” to label documents and prevent access to specific information, is an issue of concern. The analysis of the Commission shows that in very few cases, refusing data is justified.</w:t>
      </w:r>
      <w:r w:rsidRPr="0092695A">
        <w:rPr>
          <w:rFonts w:eastAsia="Times New Roman"/>
          <w:lang w:eastAsia="mk-MK"/>
        </w:rPr>
        <w:t xml:space="preserve"> Yet, the Commission </w:t>
      </w:r>
      <w:r w:rsidRPr="0092695A">
        <w:t>has no authority to impose penalties and effectively ensure enforcement</w:t>
      </w:r>
      <w:r w:rsidR="00F65ADA" w:rsidRPr="0092695A">
        <w:t xml:space="preserve"> of the law</w:t>
      </w:r>
      <w:r w:rsidRPr="0092695A">
        <w:rPr>
          <w:rStyle w:val="FootnoteReference"/>
        </w:rPr>
        <w:footnoteReference w:id="8"/>
      </w:r>
      <w:r w:rsidRPr="0092695A">
        <w:t xml:space="preserve">. </w:t>
      </w:r>
      <w:r w:rsidR="00D1104C" w:rsidRPr="0092695A">
        <w:t xml:space="preserve">Therefore, there is a need to strengthen the mandate and organisation of the Commission and improve </w:t>
      </w:r>
      <w:r w:rsidRPr="0092695A">
        <w:t>capacity to monitor compliance with the provisions of proactive disclosure of information remains insufficient.</w:t>
      </w:r>
    </w:p>
    <w:p w:rsidR="007C4B77" w:rsidRPr="0092695A" w:rsidRDefault="007C4B77" w:rsidP="007C4B77">
      <w:pPr>
        <w:pStyle w:val="ActionDocument"/>
        <w:spacing w:before="240"/>
        <w:rPr>
          <w:b/>
        </w:rPr>
      </w:pPr>
      <w:r w:rsidRPr="0092695A">
        <w:rPr>
          <w:b/>
        </w:rPr>
        <w:t>Public Service and Human Resource Management</w:t>
      </w:r>
    </w:p>
    <w:p w:rsidR="007C4B77" w:rsidRPr="0092695A" w:rsidRDefault="007C4B77" w:rsidP="007C4B77">
      <w:pPr>
        <w:pStyle w:val="ActionDocument"/>
      </w:pPr>
      <w:r w:rsidRPr="0092695A">
        <w:t>2016 corruption perception index ranks the country at position 90 and shows backsliding in the last 3 years. Transparency International Global Corruption barometer of 2013 indicates that 55% of the respondents consider public officials and civil servants in the country corrupt or extremely corrupt</w:t>
      </w:r>
      <w:r w:rsidRPr="0092695A">
        <w:rPr>
          <w:rStyle w:val="FootnoteReference"/>
        </w:rPr>
        <w:footnoteReference w:id="9"/>
      </w:r>
      <w:r w:rsidRPr="0092695A">
        <w:t>. To date, corruption continues to be a serious problem in many areas of Public Administration despite the fact that the general framework for the fight against corruption is broadly in place: Law on preventing corruption and Law on prevention of conflict of interests were adopted and a State programme for prevention of corruption and reduction of conflict of interest with Action Plan 2016-2019 are in place. The effective fight against corruption depends first of all on the effective implementation of the already adopted anti-corruption legislation - other EU interventions, notably in the sector Rule of Law, will support the country in this aspect. Yet, the insufficient administrative capacity to effectively identify and address corruption risks; discretionary powers without relevant control paired with lack of accountability and inefficient integrity policies create an environment prone to maladministration and corruption and need to be addressed in parallel. In this respect, urgent measures are needed to address few priorities.</w:t>
      </w:r>
    </w:p>
    <w:p w:rsidR="007C4B77" w:rsidRPr="0092695A" w:rsidRDefault="007C4B77" w:rsidP="007C4B77">
      <w:pPr>
        <w:pStyle w:val="ActionDocument"/>
        <w:rPr>
          <w:lang w:eastAsia="en-GB"/>
        </w:rPr>
      </w:pPr>
      <w:r w:rsidRPr="0092695A">
        <w:t xml:space="preserve">First, an administrative framework allowing the implementation of the </w:t>
      </w:r>
      <w:r w:rsidRPr="0092695A">
        <w:rPr>
          <w:lang w:eastAsia="en-GB"/>
        </w:rPr>
        <w:t>Law on Protection of whistle-blowers needs to be established</w:t>
      </w:r>
      <w:r w:rsidR="00356E04" w:rsidRPr="0092695A">
        <w:rPr>
          <w:lang w:eastAsia="en-GB"/>
        </w:rPr>
        <w:t>. T</w:t>
      </w:r>
      <w:r w:rsidRPr="0092695A">
        <w:rPr>
          <w:lang w:eastAsia="en-GB"/>
        </w:rPr>
        <w:t>he efforts need to be focused on</w:t>
      </w:r>
      <w:r w:rsidR="00F65ADA" w:rsidRPr="0092695A">
        <w:t xml:space="preserve">strengthening capacities of public institutions </w:t>
      </w:r>
      <w:r w:rsidR="00356E04" w:rsidRPr="0092695A">
        <w:t xml:space="preserve">to ensure adequate protection of whistle-blowers, on the </w:t>
      </w:r>
      <w:r w:rsidRPr="0092695A">
        <w:t xml:space="preserve">promotion of "whistle-blowing" across the public service and raising awareness of officials on the new law. In addition, effective protection of whistle-blowers, in line with European standards and </w:t>
      </w:r>
      <w:r w:rsidR="004F2BAB" w:rsidRPr="0092695A">
        <w:t xml:space="preserve">the </w:t>
      </w:r>
      <w:r w:rsidR="00356E04" w:rsidRPr="0092695A">
        <w:rPr>
          <w:lang w:eastAsia="en-GB"/>
        </w:rPr>
        <w:t>2016 Venice Commission Opinion on the Law on the Protection of Whistleblowers</w:t>
      </w:r>
      <w:r w:rsidRPr="0092695A">
        <w:t>,</w:t>
      </w:r>
      <w:r w:rsidRPr="0092695A">
        <w:rPr>
          <w:lang w:eastAsia="en-GB"/>
        </w:rPr>
        <w:t xml:space="preserve"> needs to be </w:t>
      </w:r>
      <w:r w:rsidRPr="0092695A">
        <w:t xml:space="preserve">ensured. </w:t>
      </w:r>
      <w:r w:rsidR="00356E04" w:rsidRPr="0092695A">
        <w:t xml:space="preserve">It must be noted that the country has still not implemented the aforementioned Venice Commission Opinion and, as a result, a number of shortcomings still exist in the Law on the Protection of Whistleblowers. </w:t>
      </w:r>
    </w:p>
    <w:p w:rsidR="007C4B77" w:rsidRPr="0092695A" w:rsidRDefault="007C4B77" w:rsidP="007C4B77">
      <w:pPr>
        <w:pStyle w:val="ActionDocument"/>
        <w:rPr>
          <w:lang w:eastAsia="en-GB"/>
        </w:rPr>
      </w:pPr>
      <w:r w:rsidRPr="0092695A">
        <w:t>Second, the integrity in public sector institutions, including public enterprises</w:t>
      </w:r>
      <w:r w:rsidR="004F2BAB" w:rsidRPr="0092695A">
        <w:t>,</w:t>
      </w:r>
      <w:r w:rsidRPr="0092695A">
        <w:t xml:space="preserve"> needs to be reinforced. Systemic efforts are required to ensure all public servants share and adhere to the ethics and values of the public administration. </w:t>
      </w:r>
      <w:r w:rsidRPr="0092695A">
        <w:rPr>
          <w:lang w:eastAsia="en-GB"/>
        </w:rPr>
        <w:t xml:space="preserve">Ethical Codes for different groups of employees in the public sector are adopted, but deficiencies in </w:t>
      </w:r>
      <w:r w:rsidR="00C1546A">
        <w:rPr>
          <w:lang w:eastAsia="en-GB"/>
        </w:rPr>
        <w:t xml:space="preserve">both </w:t>
      </w:r>
      <w:r w:rsidR="005830C6" w:rsidRPr="0092695A">
        <w:rPr>
          <w:lang w:eastAsia="en-GB"/>
        </w:rPr>
        <w:t xml:space="preserve">their implementation and </w:t>
      </w:r>
      <w:r w:rsidRPr="0092695A">
        <w:rPr>
          <w:lang w:eastAsia="en-GB"/>
        </w:rPr>
        <w:t xml:space="preserve">monitoring of their </w:t>
      </w:r>
      <w:r w:rsidR="005830C6" w:rsidRPr="0092695A">
        <w:rPr>
          <w:lang w:eastAsia="en-GB"/>
        </w:rPr>
        <w:t xml:space="preserve">application </w:t>
      </w:r>
      <w:r w:rsidRPr="0092695A">
        <w:rPr>
          <w:lang w:eastAsia="en-GB"/>
        </w:rPr>
        <w:t>are evident.</w:t>
      </w:r>
      <w:r w:rsidRPr="0092695A">
        <w:t xml:space="preserve"> It is also necessary to raise the awareness of civil servants on various aspects and importance of ethical conduct, to promote ethical behaviour and to establish mechanisms to monitor the implementation of the code of conduct for public sector employees. </w:t>
      </w:r>
      <w:r w:rsidRPr="0092695A">
        <w:rPr>
          <w:lang w:eastAsia="en-GB"/>
        </w:rPr>
        <w:t xml:space="preserve">Training needs analysis in the area of fight against corruption demonstrates high interest of the employees in the state administration to acquire more knowledge. It is important to respond to this demand and </w:t>
      </w:r>
      <w:r w:rsidR="004F2BAB" w:rsidRPr="0092695A">
        <w:rPr>
          <w:lang w:eastAsia="en-GB"/>
        </w:rPr>
        <w:t xml:space="preserve">to </w:t>
      </w:r>
      <w:r w:rsidRPr="0092695A">
        <w:rPr>
          <w:lang w:eastAsia="en-GB"/>
        </w:rPr>
        <w:t>ensure the inclusion of training on prevention of corruption and conflict of interest and ethical code of public servants in the regular training cycle</w:t>
      </w:r>
      <w:r w:rsidR="004F2BAB" w:rsidRPr="0092695A">
        <w:rPr>
          <w:lang w:eastAsia="en-GB"/>
        </w:rPr>
        <w:t>s</w:t>
      </w:r>
      <w:r w:rsidRPr="0092695A">
        <w:rPr>
          <w:lang w:eastAsia="en-GB"/>
        </w:rPr>
        <w:t xml:space="preserve"> available for the public administration. Development of e-learning modules will increase the outreach of the training exercise and ensure also re-training at specific intervals (1 year).</w:t>
      </w:r>
    </w:p>
    <w:p w:rsidR="007C4B77" w:rsidRPr="0092695A" w:rsidRDefault="007C4B77" w:rsidP="007C4B77">
      <w:pPr>
        <w:pStyle w:val="ActionDocument"/>
      </w:pPr>
      <w:r w:rsidRPr="0092695A">
        <w:t xml:space="preserve">Third, legislation that promotes integrity in the public service has a relatively limited impact. So far, </w:t>
      </w:r>
      <w:r w:rsidR="00D1104C" w:rsidRPr="0092695A">
        <w:t xml:space="preserve">very few </w:t>
      </w:r>
      <w:r w:rsidRPr="0092695A">
        <w:t>of the State bodies</w:t>
      </w:r>
      <w:r w:rsidR="00D60577" w:rsidRPr="0092695A">
        <w:t xml:space="preserve"> and only half of the 81 </w:t>
      </w:r>
      <w:r w:rsidR="00C1546A" w:rsidRPr="0092695A">
        <w:t>municipalities</w:t>
      </w:r>
      <w:r w:rsidRPr="0092695A">
        <w:t xml:space="preserve">, </w:t>
      </w:r>
      <w:r w:rsidR="00D1104C" w:rsidRPr="0092695A">
        <w:t xml:space="preserve">have </w:t>
      </w:r>
      <w:r w:rsidRPr="0092695A">
        <w:t xml:space="preserve">adopted a “Policy of integrity” </w:t>
      </w:r>
      <w:r w:rsidR="00D60577" w:rsidRPr="0092695A">
        <w:t>creating alegislative and procedural basis for a proper</w:t>
      </w:r>
      <w:r w:rsidRPr="0092695A">
        <w:t xml:space="preserve"> system of integrity of the institution and its staff. This process needs to be completed and the procedural framework – finalised. In addition, the Law on Public Internal Financial Control includes provisions for assessing risks, including the risk of corruption. A manual for managing the risk of corruption was developed. When applied, it can be a powerful tool in the fight against corruption in all public institutions. However, the institutional capacities for research, situation analysis and risk assessments in terms of corruption and conflicts of interest in the public sector need to be strengthened to allow proper assessment of the risks of corruption, definition of mitigation measures and policies</w:t>
      </w:r>
      <w:r w:rsidR="001A7E77" w:rsidRPr="0092695A">
        <w:t xml:space="preserve"> and their implementation in practice.</w:t>
      </w:r>
    </w:p>
    <w:p w:rsidR="007C4B77" w:rsidRPr="0092695A" w:rsidRDefault="007C4B77" w:rsidP="007C4B77">
      <w:pPr>
        <w:pStyle w:val="ActionDocument"/>
      </w:pPr>
      <w:r w:rsidRPr="0092695A">
        <w:t>Finally, the coordination role of the State Commission for Prevention of Corruption (SCPC) needs to be strengthened to reach each institution and municipality</w:t>
      </w:r>
      <w:r w:rsidR="00D60577" w:rsidRPr="0092695A">
        <w:t xml:space="preserve"> in promoting the systems preventing corruption</w:t>
      </w:r>
      <w:r w:rsidRPr="0092695A">
        <w:t>. This requires building necessary capacities for monitoring and analysis. Inter-institutional cooperation and communication needs to be improved, and data sharing enhanced.</w:t>
      </w:r>
    </w:p>
    <w:p w:rsidR="00252DA0" w:rsidRPr="0092695A" w:rsidRDefault="005E4C45" w:rsidP="001C3D6C">
      <w:pPr>
        <w:pStyle w:val="ActionDocument"/>
        <w:spacing w:before="240"/>
        <w:ind w:right="57"/>
        <w:rPr>
          <w:b/>
        </w:rPr>
      </w:pPr>
      <w:r w:rsidRPr="0092695A">
        <w:rPr>
          <w:b/>
        </w:rPr>
        <w:t>Service Delivery</w:t>
      </w:r>
    </w:p>
    <w:p w:rsidR="00FF289E" w:rsidRPr="0092695A" w:rsidRDefault="00C74EF0" w:rsidP="00FF289E">
      <w:pPr>
        <w:pStyle w:val="ActionDocument"/>
      </w:pPr>
      <w:r w:rsidRPr="0092695A">
        <w:t>While the importance of e-Governance is largely acknowledged and a</w:t>
      </w:r>
      <w:r w:rsidR="005E4C45" w:rsidRPr="0092695A">
        <w:t xml:space="preserve"> considerable work has been done by the Ministry of Information Society and Administration</w:t>
      </w:r>
      <w:r w:rsidR="005E4C45" w:rsidRPr="0092695A">
        <w:rPr>
          <w:lang w:val="en-US"/>
        </w:rPr>
        <w:t xml:space="preserve"> (MISA)</w:t>
      </w:r>
      <w:r w:rsidR="00FF289E" w:rsidRPr="0092695A">
        <w:t xml:space="preserve">to </w:t>
      </w:r>
      <w:r w:rsidR="005E4C45" w:rsidRPr="0092695A">
        <w:t>modern</w:t>
      </w:r>
      <w:r w:rsidR="004E7142" w:rsidRPr="0092695A">
        <w:t>i</w:t>
      </w:r>
      <w:r w:rsidR="00FF289E" w:rsidRPr="0092695A">
        <w:t>se the</w:t>
      </w:r>
      <w:r w:rsidR="005E4C45" w:rsidRPr="0092695A">
        <w:t xml:space="preserve"> public services’ delivery</w:t>
      </w:r>
      <w:r w:rsidR="00FF289E" w:rsidRPr="0092695A">
        <w:t xml:space="preserve"> the </w:t>
      </w:r>
      <w:r w:rsidRPr="0092695A">
        <w:t xml:space="preserve">actual </w:t>
      </w:r>
      <w:r w:rsidR="00FF289E" w:rsidRPr="0092695A">
        <w:t xml:space="preserve">progress remain </w:t>
      </w:r>
      <w:r w:rsidRPr="0092695A">
        <w:t>limited</w:t>
      </w:r>
      <w:r w:rsidR="005E4C45" w:rsidRPr="0092695A">
        <w:t xml:space="preserve">. Several benchmarks show that the </w:t>
      </w:r>
      <w:r w:rsidR="00DC076B" w:rsidRPr="0092695A">
        <w:t>c</w:t>
      </w:r>
      <w:r w:rsidR="005E4C45" w:rsidRPr="0092695A">
        <w:t>ountry</w:t>
      </w:r>
      <w:r w:rsidR="006630BC" w:rsidRPr="0092695A">
        <w:t xml:space="preserve">'s e-Governance level is comparable to the </w:t>
      </w:r>
      <w:r w:rsidR="00D00EFC" w:rsidRPr="0092695A">
        <w:t xml:space="preserve">2007 levels of </w:t>
      </w:r>
      <w:r w:rsidR="005E4C45" w:rsidRPr="0092695A">
        <w:t xml:space="preserve">the </w:t>
      </w:r>
      <w:r w:rsidR="00D00EFC" w:rsidRPr="0092695A">
        <w:t xml:space="preserve">last </w:t>
      </w:r>
      <w:r w:rsidR="00DC076B" w:rsidRPr="0092695A">
        <w:t>c</w:t>
      </w:r>
      <w:r w:rsidR="005E4C45" w:rsidRPr="0092695A">
        <w:t xml:space="preserve">ountries </w:t>
      </w:r>
      <w:r w:rsidR="002C5BB3" w:rsidRPr="0092695A">
        <w:t>which</w:t>
      </w:r>
      <w:r w:rsidR="005E4C45" w:rsidRPr="0092695A">
        <w:t>join</w:t>
      </w:r>
      <w:r w:rsidR="002C5BB3" w:rsidRPr="0092695A">
        <w:t>ed</w:t>
      </w:r>
      <w:r w:rsidR="005E4C45" w:rsidRPr="0092695A">
        <w:t xml:space="preserve">the EU. </w:t>
      </w:r>
      <w:r w:rsidR="00FF289E" w:rsidRPr="0092695A">
        <w:t>The interoperability framework is operational</w:t>
      </w:r>
      <w:r w:rsidR="006630BC" w:rsidRPr="0092695A">
        <w:t xml:space="preserve"> with 2,400,000 transactions in total but the communication potential among the various software applications remains largely unused. T</w:t>
      </w:r>
      <w:r w:rsidR="00FF289E" w:rsidRPr="0092695A">
        <w:t xml:space="preserve">he number of services provided to the public through the e-government portal remained modest </w:t>
      </w:r>
      <w:r w:rsidR="00B66E9E" w:rsidRPr="0092695A">
        <w:t>and no</w:t>
      </w:r>
      <w:r w:rsidRPr="0092695A">
        <w:t xml:space="preserve"> single gateway</w:t>
      </w:r>
      <w:r w:rsidR="00B66E9E" w:rsidRPr="0092695A">
        <w:t xml:space="preserve"> to ease access to services has been put in place</w:t>
      </w:r>
      <w:r w:rsidR="006630BC" w:rsidRPr="0092695A">
        <w:rPr>
          <w:rStyle w:val="FootnoteReference"/>
        </w:rPr>
        <w:footnoteReference w:id="10"/>
      </w:r>
      <w:r w:rsidR="006630BC" w:rsidRPr="0092695A">
        <w:t>.</w:t>
      </w:r>
      <w:r w:rsidR="00996F52" w:rsidRPr="0092695A">
        <w:t>The lack of organi</w:t>
      </w:r>
      <w:r w:rsidR="006630BC" w:rsidRPr="0092695A">
        <w:t>s</w:t>
      </w:r>
      <w:r w:rsidR="00996F52" w:rsidRPr="0092695A">
        <w:t xml:space="preserve">ational knowledge for introducing the concept of single point of contact in cost-effective and functional terms further delays the e-services. </w:t>
      </w:r>
      <w:r w:rsidR="00057ED2" w:rsidRPr="0092695A">
        <w:t>All these issues must be addressed as a matter of urgency in order to ensure the right of citizens to good administration</w:t>
      </w:r>
      <w:r w:rsidR="00B66E9E" w:rsidRPr="0092695A">
        <w:t>, and raise efficiency of administrative bodies.</w:t>
      </w:r>
    </w:p>
    <w:p w:rsidR="00252DA0" w:rsidRPr="0092695A" w:rsidRDefault="004F2591">
      <w:pPr>
        <w:pStyle w:val="ActionDocument"/>
      </w:pPr>
      <w:r w:rsidRPr="0092695A">
        <w:t>Since August 2016, t</w:t>
      </w:r>
      <w:r w:rsidR="005E4C45" w:rsidRPr="0092695A">
        <w:t xml:space="preserve">he </w:t>
      </w:r>
      <w:r w:rsidRPr="0092695A">
        <w:t xml:space="preserve">new </w:t>
      </w:r>
      <w:r w:rsidR="005E4C45" w:rsidRPr="0092695A">
        <w:t xml:space="preserve">Law on general administrative procedures </w:t>
      </w:r>
      <w:r w:rsidRPr="0092695A">
        <w:t>backed up by 168 aligned special laws,</w:t>
      </w:r>
      <w:r w:rsidR="005E4C45" w:rsidRPr="0092695A">
        <w:t xml:space="preserve"> regulates the procedures for all administrative actions of the State authorities, local self-government bodies and other institutions and legal entities that provide services of public interest. The Law provides basis for </w:t>
      </w:r>
      <w:r w:rsidR="00DC076B" w:rsidRPr="0092695A">
        <w:t>o</w:t>
      </w:r>
      <w:r w:rsidR="005E4C45" w:rsidRPr="0092695A">
        <w:t>ne-</w:t>
      </w:r>
      <w:r w:rsidR="00DC076B" w:rsidRPr="0092695A">
        <w:t>s</w:t>
      </w:r>
      <w:r w:rsidR="005E4C45" w:rsidRPr="0092695A">
        <w:t xml:space="preserve">top </w:t>
      </w:r>
      <w:r w:rsidR="00DC076B" w:rsidRPr="0092695A">
        <w:t>s</w:t>
      </w:r>
      <w:r w:rsidR="005E4C45" w:rsidRPr="0092695A">
        <w:t xml:space="preserve">hop </w:t>
      </w:r>
      <w:r w:rsidR="00DC076B" w:rsidRPr="0092695A">
        <w:t>s</w:t>
      </w:r>
      <w:r w:rsidR="005E4C45" w:rsidRPr="0092695A">
        <w:t>ystem and ex-officio exchange of evidence and documents in all institutions and bodies</w:t>
      </w:r>
      <w:r w:rsidRPr="0092695A">
        <w:t xml:space="preserve"> and </w:t>
      </w:r>
      <w:r w:rsidR="002B1DF5" w:rsidRPr="0092695A">
        <w:t xml:space="preserve">regulates the interconnection of IT systems of different public sector bodies. </w:t>
      </w:r>
      <w:r w:rsidR="008A5033" w:rsidRPr="0092695A">
        <w:t>However, t</w:t>
      </w:r>
      <w:r w:rsidR="005E4C45" w:rsidRPr="0092695A">
        <w:t xml:space="preserve">he authorities still need to decide on the location for </w:t>
      </w:r>
      <w:r w:rsidR="00F84B8E" w:rsidRPr="0092695A">
        <w:t>the s</w:t>
      </w:r>
      <w:r w:rsidR="005E4C45" w:rsidRPr="0092695A">
        <w:t xml:space="preserve">ingle </w:t>
      </w:r>
      <w:r w:rsidR="00F84B8E" w:rsidRPr="0092695A">
        <w:t>p</w:t>
      </w:r>
      <w:r w:rsidR="005E4C45" w:rsidRPr="0092695A">
        <w:t xml:space="preserve">oint of </w:t>
      </w:r>
      <w:r w:rsidR="00F84B8E" w:rsidRPr="0092695A">
        <w:t>c</w:t>
      </w:r>
      <w:r w:rsidR="005E4C45" w:rsidRPr="0092695A">
        <w:t xml:space="preserve">ontact, </w:t>
      </w:r>
      <w:r w:rsidR="002B1DF5" w:rsidRPr="0092695A">
        <w:t>and to ensure full compliance of the e-citizens concept</w:t>
      </w:r>
      <w:r w:rsidRPr="0092695A">
        <w:t>with the</w:t>
      </w:r>
      <w:r w:rsidR="008A5033" w:rsidRPr="0092695A">
        <w:t xml:space="preserve">European Interoperability Framework. Further on, the software platform and technical solutions </w:t>
      </w:r>
      <w:r w:rsidR="002B1DF5" w:rsidRPr="0092695A">
        <w:t xml:space="preserve">for back and front-office </w:t>
      </w:r>
      <w:r w:rsidR="008A5033" w:rsidRPr="0092695A">
        <w:t>needs to be developed</w:t>
      </w:r>
      <w:r w:rsidR="002B1DF5" w:rsidRPr="0092695A">
        <w:t xml:space="preserve"> and installed and the users trained. The implementation of the e-Citizens gateway is expected to significantly accelerate all administrative procedures and processes in terms of document management for the State and for users and will result into an increased satisfaction of all system users.</w:t>
      </w:r>
    </w:p>
    <w:p w:rsidR="00252DA0" w:rsidRPr="0092695A" w:rsidRDefault="005E4C45">
      <w:pPr>
        <w:pStyle w:val="ActionDocument"/>
      </w:pPr>
      <w:r w:rsidRPr="0092695A">
        <w:t xml:space="preserve">In parallel, the establishment of e-service platform for businesses is </w:t>
      </w:r>
      <w:r w:rsidR="002B1DF5" w:rsidRPr="0092695A">
        <w:t xml:space="preserve">already </w:t>
      </w:r>
      <w:r w:rsidRPr="0092695A">
        <w:t>ongoing under the supervision of the Cabinet of the Deputy Prime Minister for Economic Affairs</w:t>
      </w:r>
      <w:r w:rsidRPr="0092695A">
        <w:rPr>
          <w:i/>
        </w:rPr>
        <w:t>.</w:t>
      </w:r>
      <w:r w:rsidRPr="0092695A">
        <w:t xml:space="preserve"> This platform is designed to be a “</w:t>
      </w:r>
      <w:r w:rsidRPr="0092695A">
        <w:rPr>
          <w:i/>
        </w:rPr>
        <w:t>front/end</w:t>
      </w:r>
      <w:r w:rsidRPr="0092695A">
        <w:t>” super-portal which will add the functionality of providing information to businesses on the necessary licenses and required permits and direct them to the individual portals so to allow the submission and management of on-line applications for business licenses, permits and other G2B services. Feasibility Study and mapping of institution and licenses and permits procedures were completed. Furthermore, the platform model has already been chosen and the implementation phases have been designed.</w:t>
      </w:r>
      <w:r w:rsidR="002B1DF5" w:rsidRPr="0092695A">
        <w:t xml:space="preserve"> The next step that needs to be completed is the </w:t>
      </w:r>
      <w:r w:rsidR="008A445A" w:rsidRPr="0092695A">
        <w:t>development of the technic solution and putting in use of the software.</w:t>
      </w:r>
    </w:p>
    <w:p w:rsidR="00252DA0" w:rsidRPr="0092695A" w:rsidRDefault="008A445A">
      <w:pPr>
        <w:pStyle w:val="ActionDocument"/>
      </w:pPr>
      <w:r w:rsidRPr="0092695A">
        <w:t xml:space="preserve">The e-Citizens and e-Business platforms represent the heart of the e-Government in the country and address the need of increasing the transparency of the public sector in providing public services and of raising the efficiency in the relations state-citizens.  </w:t>
      </w:r>
      <w:r w:rsidR="009D77FA" w:rsidRPr="0092695A">
        <w:t>At the same time, they would allow the optimisation and standardisation of key business process, which would provide the opportunity for putting in place a mechanism for measuring the institutional performance of the back office</w:t>
      </w:r>
      <w:r w:rsidR="009D77FA" w:rsidRPr="0092695A">
        <w:rPr>
          <w:rFonts w:eastAsia="Times New Roman"/>
          <w:lang w:eastAsia="en-GB"/>
        </w:rPr>
        <w:t>/</w:t>
      </w:r>
      <w:r w:rsidR="005E4C45" w:rsidRPr="0092695A">
        <w:t xml:space="preserve">background process of service delivery encompassing the whole cycle from submission to delivery. </w:t>
      </w:r>
      <w:r w:rsidR="009D77FA" w:rsidRPr="0092695A">
        <w:rPr>
          <w:rFonts w:eastAsia="Times New Roman"/>
          <w:lang w:eastAsia="en-GB"/>
        </w:rPr>
        <w:t>(</w:t>
      </w:r>
      <w:r w:rsidR="009D77FA" w:rsidRPr="0092695A">
        <w:t xml:space="preserve">Most of the instruments to measure the user satisfaction about the front-office or the quality of the institution are already in place). This will have an impact on the </w:t>
      </w:r>
      <w:r w:rsidR="005E4C45" w:rsidRPr="0092695A">
        <w:t>Human Resources Management</w:t>
      </w:r>
      <w:r w:rsidR="009D77FA" w:rsidRPr="0092695A">
        <w:t xml:space="preserve"> and will support the system of </w:t>
      </w:r>
      <w:r w:rsidR="002813AA" w:rsidRPr="0092695A">
        <w:t>performance-based assessment</w:t>
      </w:r>
      <w:r w:rsidR="005E4C45" w:rsidRPr="0092695A">
        <w:t>.</w:t>
      </w:r>
    </w:p>
    <w:p w:rsidR="00252DA0" w:rsidRPr="0092695A" w:rsidRDefault="00CE6B45" w:rsidP="001C3D6C">
      <w:pPr>
        <w:pStyle w:val="ActionDocument"/>
        <w:spacing w:before="240"/>
        <w:ind w:right="57"/>
        <w:rPr>
          <w:b/>
          <w:i/>
          <w:u w:val="single"/>
        </w:rPr>
      </w:pPr>
      <w:r w:rsidRPr="0092695A">
        <w:rPr>
          <w:b/>
          <w:i/>
          <w:u w:val="single"/>
        </w:rPr>
        <w:t>STATISTICS</w:t>
      </w:r>
    </w:p>
    <w:p w:rsidR="00BE574F" w:rsidRPr="0092695A" w:rsidRDefault="00DE0FCF" w:rsidP="001135C3">
      <w:pPr>
        <w:pStyle w:val="Default"/>
        <w:jc w:val="both"/>
        <w:rPr>
          <w:sz w:val="22"/>
          <w:szCs w:val="22"/>
          <w:lang w:val="en-GB"/>
        </w:rPr>
      </w:pPr>
      <w:r w:rsidRPr="0092695A">
        <w:rPr>
          <w:sz w:val="22"/>
          <w:szCs w:val="22"/>
          <w:lang w:val="en-GB"/>
        </w:rPr>
        <w:t xml:space="preserve">Developing a statistical system compliant with the EU standards is a long-term task, requiring solid investments in establishing a political, institutional and financial framework to allow full harmonisation with the EU </w:t>
      </w:r>
      <w:r w:rsidRPr="00402EDA">
        <w:rPr>
          <w:i/>
          <w:iCs/>
          <w:sz w:val="22"/>
          <w:szCs w:val="22"/>
          <w:lang w:val="en-GB"/>
        </w:rPr>
        <w:t>acquis</w:t>
      </w:r>
      <w:r w:rsidRPr="0092695A">
        <w:rPr>
          <w:iCs/>
          <w:sz w:val="22"/>
          <w:szCs w:val="22"/>
          <w:lang w:val="en-GB"/>
        </w:rPr>
        <w:t xml:space="preserve"> and the implementation of the</w:t>
      </w:r>
      <w:r w:rsidRPr="0092695A">
        <w:rPr>
          <w:sz w:val="22"/>
          <w:szCs w:val="22"/>
          <w:lang w:val="en-GB"/>
        </w:rPr>
        <w:t xml:space="preserve">European Statistics Code of Practice. </w:t>
      </w:r>
    </w:p>
    <w:p w:rsidR="00DE0FCF" w:rsidRPr="0092695A" w:rsidRDefault="001A7001" w:rsidP="001135C3">
      <w:pPr>
        <w:pStyle w:val="Default"/>
        <w:spacing w:before="120"/>
        <w:jc w:val="both"/>
        <w:rPr>
          <w:sz w:val="22"/>
          <w:szCs w:val="22"/>
          <w:lang w:val="en-GB"/>
        </w:rPr>
      </w:pPr>
      <w:r w:rsidRPr="0092695A">
        <w:rPr>
          <w:sz w:val="22"/>
          <w:szCs w:val="22"/>
          <w:lang w:val="en-GB"/>
        </w:rPr>
        <w:t xml:space="preserve">Along with the progress achieved, the 2016 Country Report of the Commission highlights the need to </w:t>
      </w:r>
      <w:r w:rsidR="00DE0FCF" w:rsidRPr="0092695A">
        <w:rPr>
          <w:sz w:val="22"/>
          <w:szCs w:val="22"/>
          <w:lang w:val="en-GB"/>
        </w:rPr>
        <w:t>further align statistics with the Eu</w:t>
      </w:r>
      <w:r w:rsidRPr="0092695A">
        <w:rPr>
          <w:sz w:val="22"/>
          <w:szCs w:val="22"/>
          <w:lang w:val="en-GB"/>
        </w:rPr>
        <w:t>ropean System of Accounts 2010 and to</w:t>
      </w:r>
      <w:r w:rsidR="00DE0FCF" w:rsidRPr="0092695A">
        <w:rPr>
          <w:sz w:val="22"/>
          <w:szCs w:val="22"/>
          <w:lang w:val="en-GB"/>
        </w:rPr>
        <w:t>transmit a full set of tables for the Excessive Deficit Procedure (EDP) to Eurostat.</w:t>
      </w:r>
      <w:r w:rsidR="00F34A45" w:rsidRPr="0092695A">
        <w:rPr>
          <w:sz w:val="22"/>
          <w:szCs w:val="22"/>
          <w:lang w:val="en-GB"/>
        </w:rPr>
        <w:t>Therefore, there is a need</w:t>
      </w:r>
      <w:r w:rsidRPr="0092695A">
        <w:rPr>
          <w:sz w:val="22"/>
          <w:szCs w:val="22"/>
          <w:lang w:val="en-GB"/>
        </w:rPr>
        <w:t xml:space="preserve"> to continue the </w:t>
      </w:r>
      <w:r w:rsidR="001135C3" w:rsidRPr="0092695A">
        <w:rPr>
          <w:sz w:val="22"/>
          <w:szCs w:val="22"/>
          <w:lang w:val="en-GB"/>
        </w:rPr>
        <w:t>methodological</w:t>
      </w:r>
      <w:r w:rsidR="00F34A45" w:rsidRPr="0092695A">
        <w:rPr>
          <w:sz w:val="22"/>
          <w:szCs w:val="22"/>
          <w:lang w:val="en-GB"/>
        </w:rPr>
        <w:t xml:space="preserve"> improvements</w:t>
      </w:r>
      <w:r w:rsidRPr="0092695A">
        <w:rPr>
          <w:sz w:val="22"/>
          <w:szCs w:val="22"/>
          <w:lang w:val="en-GB"/>
        </w:rPr>
        <w:t xml:space="preserve"> in the area of National Accounts</w:t>
      </w:r>
      <w:r w:rsidR="00B240DD" w:rsidRPr="0092695A">
        <w:rPr>
          <w:sz w:val="22"/>
          <w:szCs w:val="22"/>
          <w:lang w:val="en-GB"/>
        </w:rPr>
        <w:t xml:space="preserve"> with a focus on producinggovernment finance statistics and quarterly sector accounts, </w:t>
      </w:r>
      <w:r w:rsidR="001135C3" w:rsidRPr="0092695A">
        <w:rPr>
          <w:sz w:val="22"/>
          <w:szCs w:val="22"/>
          <w:lang w:val="en-GB"/>
        </w:rPr>
        <w:t>to</w:t>
      </w:r>
      <w:r w:rsidRPr="0092695A">
        <w:rPr>
          <w:sz w:val="22"/>
          <w:szCs w:val="22"/>
          <w:lang w:val="en-GB"/>
        </w:rPr>
        <w:t xml:space="preserve"> the full introduction of ESA 2010</w:t>
      </w:r>
      <w:r w:rsidR="00B240DD" w:rsidRPr="0092695A">
        <w:rPr>
          <w:sz w:val="22"/>
          <w:szCs w:val="22"/>
          <w:lang w:val="en-GB"/>
        </w:rPr>
        <w:t xml:space="preserve">. Focus needs to be put on </w:t>
      </w:r>
      <w:r w:rsidRPr="0092695A">
        <w:rPr>
          <w:sz w:val="22"/>
          <w:szCs w:val="22"/>
          <w:lang w:val="en-GB"/>
        </w:rPr>
        <w:t>the preparation of the EDP notification tables (in cooperation with Ministry of Finance), delimitation of the government sector and completion of the tables according to Eurostat's ESA 2010 Transmission Programme.</w:t>
      </w:r>
    </w:p>
    <w:p w:rsidR="00252DA0" w:rsidRPr="0092695A" w:rsidRDefault="001A7001">
      <w:pPr>
        <w:pStyle w:val="ActionDocument"/>
      </w:pPr>
      <w:r w:rsidRPr="0092695A">
        <w:t xml:space="preserve">Further on, strengthening statistical system is essential for enhancingevidence-based </w:t>
      </w:r>
      <w:r w:rsidR="005E4C45" w:rsidRPr="0092695A">
        <w:t>policy mak</w:t>
      </w:r>
      <w:r w:rsidRPr="0092695A">
        <w:t>ing</w:t>
      </w:r>
      <w:r w:rsidR="005E4C45" w:rsidRPr="0092695A">
        <w:t xml:space="preserve">. In 2012, a National Council for Sustainable Development was established and a Technical Group was composed to support it. TheState Statistical Office (SSO) is a main </w:t>
      </w:r>
      <w:r w:rsidRPr="0092695A">
        <w:t xml:space="preserve">participant and a </w:t>
      </w:r>
      <w:r w:rsidR="005E4C45" w:rsidRPr="0092695A">
        <w:t>contributor in providing statistics for the agreed indicators. In order to be able to better implement this role, SSO needs to further develop the statistical production system and to increase the number of available indicators in all sectors of statistics</w:t>
      </w:r>
      <w:r w:rsidR="00F34A45" w:rsidRPr="0092695A">
        <w:t xml:space="preserve">, with a particular attention on the </w:t>
      </w:r>
      <w:r w:rsidR="005E4C45" w:rsidRPr="0092695A">
        <w:t xml:space="preserve">economic and socio-economic statistics </w:t>
      </w:r>
    </w:p>
    <w:p w:rsidR="00252DA0" w:rsidRPr="0092695A" w:rsidRDefault="005E4C45">
      <w:pPr>
        <w:pStyle w:val="ActionDocument"/>
      </w:pPr>
      <w:r w:rsidRPr="0092695A">
        <w:t>To better and faster respond to the request of users and policy-makers, SSO needs to re-design significant parts of the data collection, statistics production and dissemination systems. The use of administrative data for statistical purposes needs to be enhanced, which would require strengthened cooperation with data providers and holders of administrative data sets, improvement of the quality of the administrative registers with the involvement of the SSO and re-organisation of the data processing.</w:t>
      </w:r>
    </w:p>
    <w:p w:rsidR="00252DA0" w:rsidRDefault="00252DA0">
      <w:pPr>
        <w:pStyle w:val="ActionDocument"/>
        <w:rPr>
          <w:b/>
          <w:smallCaps/>
          <w:szCs w:val="24"/>
        </w:rPr>
      </w:pPr>
    </w:p>
    <w:p w:rsidR="00252DA0" w:rsidRPr="00FE258A" w:rsidRDefault="005E4C45">
      <w:pPr>
        <w:pStyle w:val="ActionDocument"/>
        <w:rPr>
          <w:rFonts w:ascii="Arial" w:hAnsi="Arial" w:cs="Arial"/>
          <w:b/>
          <w:smallCaps/>
          <w:szCs w:val="24"/>
        </w:rPr>
      </w:pPr>
      <w:r w:rsidRPr="00FE258A">
        <w:rPr>
          <w:rFonts w:ascii="Arial" w:hAnsi="Arial" w:cs="Arial"/>
          <w:b/>
          <w:smallCaps/>
          <w:szCs w:val="24"/>
        </w:rPr>
        <w:t xml:space="preserve">Outline of IPA II assistance  </w:t>
      </w:r>
    </w:p>
    <w:p w:rsidR="0040645D" w:rsidRDefault="005E4C45" w:rsidP="0040645D">
      <w:pPr>
        <w:pStyle w:val="ActionDocument"/>
        <w:rPr>
          <w:lang w:eastAsia="en-GB"/>
        </w:rPr>
      </w:pPr>
      <w:r>
        <w:t xml:space="preserve">The </w:t>
      </w:r>
      <w:r w:rsidR="00EC03F6">
        <w:t xml:space="preserve">EU support </w:t>
      </w:r>
      <w:r>
        <w:t>will significantly contribute to ensuring transparent</w:t>
      </w:r>
      <w:r w:rsidR="00C54682">
        <w:t xml:space="preserve"> and </w:t>
      </w:r>
      <w:r>
        <w:t xml:space="preserve">accountable </w:t>
      </w:r>
      <w:r w:rsidR="007A4606">
        <w:t>p</w:t>
      </w:r>
      <w:r>
        <w:t>ublic administration and improving its efficiency</w:t>
      </w:r>
      <w:r w:rsidR="00F966BF">
        <w:t xml:space="preserve"> and </w:t>
      </w:r>
      <w:r>
        <w:t>effectiveness</w:t>
      </w:r>
      <w:r w:rsidR="009B0748">
        <w:t xml:space="preserve"> in delivering public services</w:t>
      </w:r>
      <w:r w:rsidR="00262F63">
        <w:t xml:space="preserve">Considerable progress is also expected in providing more and better quality statistics to enable decision-making as well as the public monitoring and participation in policy-making  </w:t>
      </w:r>
      <w:r w:rsidR="0040645D">
        <w:t xml:space="preserve">The </w:t>
      </w:r>
      <w:r w:rsidR="00EC03F6">
        <w:t>Action</w:t>
      </w:r>
      <w:r w:rsidR="0040645D">
        <w:t>responds to the most urgent needs</w:t>
      </w:r>
      <w:r w:rsidR="004B3FD0">
        <w:t xml:space="preserve"> in this sector</w:t>
      </w:r>
      <w:r w:rsidR="00EC03F6">
        <w:rPr>
          <w:lang w:eastAsia="en-GB"/>
        </w:rPr>
        <w:t>, optimising the available resources and looking for immediate and positive value-for-money</w:t>
      </w:r>
      <w:r w:rsidR="00F612EF">
        <w:rPr>
          <w:lang w:eastAsia="en-GB"/>
        </w:rPr>
        <w:t xml:space="preserve">, </w:t>
      </w:r>
      <w:r w:rsidR="0040645D">
        <w:rPr>
          <w:lang w:eastAsia="en-GB"/>
        </w:rPr>
        <w:t>leading the way</w:t>
      </w:r>
      <w:r w:rsidR="00F612EF">
        <w:rPr>
          <w:lang w:eastAsia="en-GB"/>
        </w:rPr>
        <w:t xml:space="preserve"> however</w:t>
      </w:r>
      <w:r w:rsidR="0040645D">
        <w:rPr>
          <w:lang w:eastAsia="en-GB"/>
        </w:rPr>
        <w:t xml:space="preserve"> to further spill-over effects.</w:t>
      </w:r>
    </w:p>
    <w:p w:rsidR="00262F63" w:rsidRDefault="00262F63">
      <w:pPr>
        <w:pStyle w:val="ActionDocument"/>
      </w:pPr>
      <w:r>
        <w:t>Improved</w:t>
      </w:r>
      <w:r w:rsidR="002C7925" w:rsidRPr="00A57F02">
        <w:rPr>
          <w:b/>
        </w:rPr>
        <w:t>accountability and transparency</w:t>
      </w:r>
      <w:r w:rsidR="002C7925">
        <w:t xml:space="preserve"> in public administration </w:t>
      </w:r>
      <w:r>
        <w:t xml:space="preserve">is expected to be achieved through </w:t>
      </w:r>
      <w:r w:rsidDel="002C7925">
        <w:t>streamlining</w:t>
      </w:r>
      <w:r w:rsidR="007A4606">
        <w:t xml:space="preserve"> and</w:t>
      </w:r>
      <w:r w:rsidR="005E4C45" w:rsidRPr="001C3D6C" w:rsidDel="002C7925">
        <w:t>optimising the institutional set up</w:t>
      </w:r>
      <w:r>
        <w:t xml:space="preserve">, strengthening the integrity and ethics in the public administration, consolidating the systems preventing corruption </w:t>
      </w:r>
      <w:r w:rsidR="009B0748">
        <w:t>and enforcing</w:t>
      </w:r>
      <w:r>
        <w:t xml:space="preserve"> the legislation on access to public information</w:t>
      </w:r>
      <w:r w:rsidR="005E4C45" w:rsidRPr="006F55D6" w:rsidDel="002C7925">
        <w:t>.</w:t>
      </w:r>
    </w:p>
    <w:p w:rsidR="00F7751F" w:rsidRDefault="005E4C45">
      <w:pPr>
        <w:pStyle w:val="ActionDocument"/>
      </w:pPr>
      <w:r>
        <w:t xml:space="preserve">This Action envisages, on the </w:t>
      </w:r>
      <w:r w:rsidR="00B20C56">
        <w:t xml:space="preserve">basis </w:t>
      </w:r>
      <w:r>
        <w:t>of a broad and comprehensive functional analysis, to support rationalisation of tasks and competencies of the public bodies and inspection services</w:t>
      </w:r>
      <w:r w:rsidR="008572CE">
        <w:t xml:space="preserve"> and </w:t>
      </w:r>
      <w:r>
        <w:t xml:space="preserve">ensure their proper functioning, attributing them with clear mandates and powers. </w:t>
      </w:r>
      <w:r w:rsidR="00262F63">
        <w:t xml:space="preserve">Further on, </w:t>
      </w:r>
      <w:r w:rsidR="00F7751F">
        <w:t xml:space="preserve">the </w:t>
      </w:r>
      <w:r w:rsidR="00F7751F" w:rsidRPr="001C3D6C">
        <w:t xml:space="preserve">revision of the system of discretionary powers </w:t>
      </w:r>
      <w:r w:rsidR="00F7751F">
        <w:t xml:space="preserve">will result into </w:t>
      </w:r>
      <w:r w:rsidR="00F7751F" w:rsidRPr="001C3D6C">
        <w:t xml:space="preserve">strengthening </w:t>
      </w:r>
      <w:r w:rsidR="00F7751F">
        <w:t xml:space="preserve">of </w:t>
      </w:r>
      <w:r w:rsidR="00F7751F" w:rsidRPr="001C3D6C">
        <w:t>the internal contro</w:t>
      </w:r>
      <w:r w:rsidR="00F7751F">
        <w:t xml:space="preserve">l environment. </w:t>
      </w:r>
    </w:p>
    <w:p w:rsidR="00C92256" w:rsidRDefault="00F7751F">
      <w:pPr>
        <w:pStyle w:val="ActionDocument"/>
      </w:pPr>
      <w:r w:rsidRPr="00F7751F">
        <w:rPr>
          <w:lang w:eastAsia="en-GB"/>
        </w:rPr>
        <w:t>M</w:t>
      </w:r>
      <w:r w:rsidRPr="00F7751F">
        <w:rPr>
          <w:lang w:val="en-US" w:eastAsia="en-GB"/>
        </w:rPr>
        <w:t xml:space="preserve">easures </w:t>
      </w:r>
      <w:r w:rsidR="008572CE" w:rsidRPr="00F7751F">
        <w:rPr>
          <w:lang w:val="en-US" w:eastAsia="en-GB"/>
        </w:rPr>
        <w:t xml:space="preserve">are </w:t>
      </w:r>
      <w:r w:rsidR="005E4C45" w:rsidRPr="00F7751F">
        <w:rPr>
          <w:lang w:val="en-US" w:eastAsia="en-GB"/>
        </w:rPr>
        <w:t xml:space="preserve">planned to establish a </w:t>
      </w:r>
      <w:r w:rsidR="008572CE" w:rsidRPr="00F7751F">
        <w:rPr>
          <w:lang w:val="en-US" w:eastAsia="en-GB"/>
        </w:rPr>
        <w:t xml:space="preserve">functioning </w:t>
      </w:r>
      <w:r w:rsidR="005E4C45" w:rsidRPr="00F7751F">
        <w:rPr>
          <w:lang w:val="en-US" w:eastAsia="en-GB"/>
        </w:rPr>
        <w:t>whistleblowing framework</w:t>
      </w:r>
      <w:r w:rsidR="00222AFA" w:rsidRPr="00F7751F">
        <w:rPr>
          <w:lang w:val="en-US" w:eastAsia="en-GB"/>
        </w:rPr>
        <w:t xml:space="preserve">, </w:t>
      </w:r>
      <w:r w:rsidR="005E4C45" w:rsidRPr="00F7751F">
        <w:rPr>
          <w:lang w:val="en-US" w:eastAsia="en-GB"/>
        </w:rPr>
        <w:t>empower whistle-blowers</w:t>
      </w:r>
      <w:r w:rsidR="00222AFA" w:rsidRPr="00F7751F">
        <w:rPr>
          <w:lang w:val="en-US" w:eastAsia="en-GB"/>
        </w:rPr>
        <w:t xml:space="preserve"> and ensure their protection</w:t>
      </w:r>
      <w:r w:rsidR="005E4C45" w:rsidRPr="00F7751F">
        <w:rPr>
          <w:lang w:val="en-US" w:eastAsia="en-GB"/>
        </w:rPr>
        <w:t xml:space="preserve">. </w:t>
      </w:r>
      <w:r w:rsidR="00262F63" w:rsidRPr="00F7751F">
        <w:rPr>
          <w:lang w:val="en-US" w:eastAsia="en-GB"/>
        </w:rPr>
        <w:t xml:space="preserve">The </w:t>
      </w:r>
      <w:r w:rsidR="005E4C45" w:rsidRPr="00F7751F">
        <w:t>establish</w:t>
      </w:r>
      <w:r w:rsidR="00262F63" w:rsidRPr="00F7751F">
        <w:t xml:space="preserve">ment </w:t>
      </w:r>
      <w:r w:rsidRPr="00F7751F">
        <w:t xml:space="preserve">of regular training </w:t>
      </w:r>
      <w:r w:rsidR="005E4C45" w:rsidRPr="00F7751F">
        <w:t xml:space="preserve">on ethics and integrity </w:t>
      </w:r>
      <w:r w:rsidRPr="00F7751F">
        <w:t xml:space="preserve">(based on an e-learning tool) and the </w:t>
      </w:r>
      <w:r w:rsidR="008572CE" w:rsidRPr="00F7751F">
        <w:t xml:space="preserve">adoption of </w:t>
      </w:r>
      <w:r w:rsidR="00222AFA" w:rsidRPr="00F7751F">
        <w:t xml:space="preserve">ethical </w:t>
      </w:r>
      <w:r w:rsidR="008572CE" w:rsidRPr="00F7751F">
        <w:t>code</w:t>
      </w:r>
      <w:r w:rsidR="00222AFA" w:rsidRPr="00F7751F">
        <w:t>s</w:t>
      </w:r>
      <w:r w:rsidR="008572CE" w:rsidRPr="00F7751F">
        <w:t xml:space="preserve"> across public bodies</w:t>
      </w:r>
      <w:r w:rsidR="00C92256">
        <w:t xml:space="preserve"> is expected to result in improved standards</w:t>
      </w:r>
      <w:r w:rsidR="00C92256" w:rsidRPr="00C92256">
        <w:rPr>
          <w:color w:val="444444"/>
        </w:rPr>
        <w:t xml:space="preserve"> of ethical conduct </w:t>
      </w:r>
      <w:r w:rsidR="00C92256">
        <w:rPr>
          <w:color w:val="444444"/>
        </w:rPr>
        <w:t xml:space="preserve">and </w:t>
      </w:r>
      <w:r w:rsidR="00C92256" w:rsidRPr="00833F4A">
        <w:rPr>
          <w:color w:val="444444"/>
        </w:rPr>
        <w:t>ethics</w:t>
      </w:r>
      <w:r w:rsidR="00C92256">
        <w:rPr>
          <w:color w:val="444444"/>
        </w:rPr>
        <w:t>-based</w:t>
      </w:r>
      <w:r w:rsidR="00C92256" w:rsidRPr="001C5ED6">
        <w:rPr>
          <w:color w:val="444444"/>
        </w:rPr>
        <w:t xml:space="preserve">workplace culture </w:t>
      </w:r>
      <w:r w:rsidR="00C92256">
        <w:rPr>
          <w:color w:val="444444"/>
        </w:rPr>
        <w:t>in support to</w:t>
      </w:r>
      <w:r w:rsidR="00C92256" w:rsidRPr="00C92256">
        <w:rPr>
          <w:color w:val="444444"/>
        </w:rPr>
        <w:t xml:space="preserve"> sound decision making processes and </w:t>
      </w:r>
      <w:r w:rsidR="00C92256">
        <w:rPr>
          <w:color w:val="444444"/>
        </w:rPr>
        <w:t>more confidence</w:t>
      </w:r>
      <w:r w:rsidR="00C92256" w:rsidRPr="00C92256">
        <w:rPr>
          <w:color w:val="444444"/>
        </w:rPr>
        <w:t xml:space="preserve"> in the public sector</w:t>
      </w:r>
      <w:r w:rsidR="00C92256">
        <w:rPr>
          <w:color w:val="444444"/>
        </w:rPr>
        <w:t xml:space="preserve">. </w:t>
      </w:r>
    </w:p>
    <w:p w:rsidR="009B0748" w:rsidRDefault="00222AFA">
      <w:pPr>
        <w:pStyle w:val="ActionDocument"/>
      </w:pPr>
      <w:r w:rsidRPr="001C3D6C">
        <w:t>The</w:t>
      </w:r>
      <w:r w:rsidR="008572CE" w:rsidRPr="001C3D6C">
        <w:t xml:space="preserve">transparency and access to public information </w:t>
      </w:r>
      <w:r w:rsidRPr="001C3D6C">
        <w:t xml:space="preserve">will be improved with the </w:t>
      </w:r>
      <w:r w:rsidR="008572CE" w:rsidRPr="001C3D6C">
        <w:t>introduc</w:t>
      </w:r>
      <w:r w:rsidRPr="001C3D6C">
        <w:t xml:space="preserve">tion of </w:t>
      </w:r>
      <w:r w:rsidR="008572CE" w:rsidRPr="001C3D6C">
        <w:t>transparency standards and</w:t>
      </w:r>
      <w:r w:rsidRPr="001C3D6C">
        <w:t xml:space="preserve"> increas</w:t>
      </w:r>
      <w:r w:rsidR="00A4430D" w:rsidRPr="001C3D6C">
        <w:t>ing</w:t>
      </w:r>
      <w:r w:rsidRPr="001C3D6C">
        <w:t xml:space="preserve"> the monitoring and scrutiny over the procedure for release of information</w:t>
      </w:r>
      <w:r w:rsidR="00A4430D" w:rsidRPr="001C3D6C">
        <w:t xml:space="preserve"> routinely and upon request</w:t>
      </w:r>
      <w:r w:rsidRPr="001C3D6C">
        <w:t>.</w:t>
      </w:r>
    </w:p>
    <w:p w:rsidR="00252DA0" w:rsidRPr="001C3D6C" w:rsidRDefault="005E4C45">
      <w:pPr>
        <w:pStyle w:val="ActionDocument"/>
      </w:pPr>
      <w:r w:rsidRPr="001C3D6C">
        <w:t xml:space="preserve">The capacities of the State Commission for Prevention of Corruption (SCPC) and of the Commission for Protection of the Right to Free Access to Public Information are also in the focus of the EU support </w:t>
      </w:r>
      <w:r w:rsidR="00A4430D" w:rsidRPr="001C3D6C">
        <w:t>with the objective to</w:t>
      </w:r>
      <w:r w:rsidRPr="001C3D6C">
        <w:t xml:space="preserve"> improve the performance of both institutions</w:t>
      </w:r>
      <w:r w:rsidR="009B0748">
        <w:t xml:space="preserve">, </w:t>
      </w:r>
      <w:r w:rsidRPr="001C3D6C">
        <w:t>strengthen their mandates</w:t>
      </w:r>
      <w:r w:rsidR="009B0748">
        <w:t xml:space="preserve"> and outreach and ensure enforcement of the adoptedlaws promoting transparency and accountability</w:t>
      </w:r>
      <w:r w:rsidRPr="001C3D6C">
        <w:t>.</w:t>
      </w:r>
    </w:p>
    <w:p w:rsidR="00252DA0" w:rsidRDefault="005E4C45">
      <w:pPr>
        <w:pStyle w:val="ActionDocument"/>
      </w:pPr>
      <w:r>
        <w:t xml:space="preserve">The </w:t>
      </w:r>
      <w:r w:rsidR="00B11FC2">
        <w:t>EU funds will also be used to</w:t>
      </w:r>
      <w:r w:rsidR="00B11FC2" w:rsidRPr="009E1D9B">
        <w:t xml:space="preserve">improve the </w:t>
      </w:r>
      <w:r w:rsidR="00B11FC2" w:rsidRPr="00D308EC">
        <w:rPr>
          <w:b/>
        </w:rPr>
        <w:t xml:space="preserve">delivery of </w:t>
      </w:r>
      <w:r w:rsidR="00A13D04" w:rsidRPr="0004385B">
        <w:rPr>
          <w:b/>
        </w:rPr>
        <w:t xml:space="preserve">electronic </w:t>
      </w:r>
      <w:r w:rsidR="00B11FC2" w:rsidRPr="0004385B">
        <w:rPr>
          <w:b/>
        </w:rPr>
        <w:t>services</w:t>
      </w:r>
      <w:r w:rsidR="00A13D04">
        <w:t>to citizens and business and</w:t>
      </w:r>
      <w:r w:rsidR="00B11FC2" w:rsidRPr="009E1D9B">
        <w:t xml:space="preserve"> strengthening the E-Government</w:t>
      </w:r>
      <w:r w:rsidR="00B11FC2" w:rsidRPr="00B11FC2">
        <w:t xml:space="preserve">. </w:t>
      </w:r>
      <w:r w:rsidR="00A13D04" w:rsidRPr="009E1D9B">
        <w:t xml:space="preserve">Two </w:t>
      </w:r>
      <w:r w:rsidR="00B80FAD" w:rsidRPr="009E1D9B">
        <w:t xml:space="preserve">e-service platforms </w:t>
      </w:r>
      <w:r w:rsidR="00A13D04">
        <w:t xml:space="preserve">- </w:t>
      </w:r>
      <w:r>
        <w:t xml:space="preserve">e-Citizens and e-Business </w:t>
      </w:r>
      <w:r w:rsidR="00A13D04">
        <w:t>– will be developed and put in use t</w:t>
      </w:r>
      <w:r w:rsidR="00A13D04" w:rsidRPr="00154867">
        <w:t xml:space="preserve">o </w:t>
      </w:r>
      <w:r>
        <w:t>ensure easy accessible, user-friendly and high quality</w:t>
      </w:r>
      <w:r w:rsidR="00A13D04">
        <w:t xml:space="preserve"> public</w:t>
      </w:r>
      <w:r>
        <w:t xml:space="preserve"> services in a secure and flexible manner. The </w:t>
      </w:r>
      <w:r w:rsidR="00A13D04">
        <w:t xml:space="preserve">e-Citizen </w:t>
      </w:r>
      <w:r>
        <w:t>platform will also integrate a pilot system for measuring the performance of the involved public bodies and public servants. Th</w:t>
      </w:r>
      <w:r w:rsidR="00A13D04">
        <w:t xml:space="preserve">e e-Government componentis expected to </w:t>
      </w:r>
      <w:r>
        <w:t xml:space="preserve">have a strong anti-corruption effect, </w:t>
      </w:r>
      <w:r w:rsidR="00A13D04">
        <w:t xml:space="preserve">to </w:t>
      </w:r>
      <w:r>
        <w:t xml:space="preserve">bring along significant reduction of the administrative burden and increase the efficiency and effectiveness of the public administration. </w:t>
      </w:r>
    </w:p>
    <w:p w:rsidR="00252DA0" w:rsidRDefault="005E4C45">
      <w:pPr>
        <w:pStyle w:val="ActionDocument"/>
      </w:pPr>
      <w:r>
        <w:t xml:space="preserve">Significant support </w:t>
      </w:r>
      <w:r w:rsidR="00A13D04">
        <w:t xml:space="preserve">through </w:t>
      </w:r>
      <w:r>
        <w:t xml:space="preserve">this Action is allocated </w:t>
      </w:r>
      <w:r w:rsidRPr="006F55D6">
        <w:t xml:space="preserve">for </w:t>
      </w:r>
      <w:r w:rsidR="00A13D04" w:rsidRPr="006F55D6">
        <w:t xml:space="preserve">improving the </w:t>
      </w:r>
      <w:r w:rsidR="00A13D04" w:rsidRPr="00D308EC">
        <w:rPr>
          <w:b/>
        </w:rPr>
        <w:t xml:space="preserve">national </w:t>
      </w:r>
      <w:r w:rsidRPr="0004385B">
        <w:rPr>
          <w:b/>
        </w:rPr>
        <w:t>statistics</w:t>
      </w:r>
      <w:r w:rsidRPr="006F55D6">
        <w:t xml:space="preserve"> and the capacity of the State Statistical Office (SSO). EU funds will be used for </w:t>
      </w:r>
      <w:r w:rsidR="00A13D04" w:rsidRPr="001C3D6C">
        <w:t>further</w:t>
      </w:r>
      <w:r w:rsidRPr="001C3D6C">
        <w:t xml:space="preserve">alignment with the </w:t>
      </w:r>
      <w:r w:rsidR="00C1546A" w:rsidRPr="001C3D6C">
        <w:rPr>
          <w:i/>
        </w:rPr>
        <w:t>acquis</w:t>
      </w:r>
      <w:r w:rsidRPr="001C3D6C">
        <w:t xml:space="preserve">in the field of macro-economic, business and social </w:t>
      </w:r>
      <w:r w:rsidRPr="0040072C">
        <w:t>statistics</w:t>
      </w:r>
      <w:r w:rsidR="0040072C" w:rsidRPr="0040072C">
        <w:t xml:space="preserve"> with a primary focus on alignment with ESA 2010 and </w:t>
      </w:r>
      <w:r w:rsidR="0040072C" w:rsidRPr="00A57F02">
        <w:t>Excessive Deficit Procedure</w:t>
      </w:r>
      <w:r w:rsidR="009B0748">
        <w:t>(</w:t>
      </w:r>
      <w:r w:rsidR="009B0748" w:rsidRPr="0040072C">
        <w:t>EDP</w:t>
      </w:r>
      <w:r w:rsidR="0040072C" w:rsidRPr="00A57F02">
        <w:t>)</w:t>
      </w:r>
      <w:r w:rsidR="00E74552" w:rsidRPr="0040072C">
        <w:t>In addition, the SSO capacity for production and dissemination of EU compliant statistics will be enhanced</w:t>
      </w:r>
      <w:r w:rsidR="00E74552" w:rsidRPr="001C3D6C">
        <w:t>through a re-engineered IT system</w:t>
      </w:r>
      <w:r w:rsidR="00E74552" w:rsidRPr="006F55D6">
        <w:t xml:space="preserve">. </w:t>
      </w:r>
      <w:r w:rsidR="004B3FD0" w:rsidRPr="006F55D6">
        <w:t>EU</w:t>
      </w:r>
      <w:r w:rsidR="004B3FD0">
        <w:t xml:space="preserve"> support </w:t>
      </w:r>
      <w:r w:rsidR="0040072C">
        <w:t>is also envisaged for the</w:t>
      </w:r>
      <w:r w:rsidR="004B3FD0">
        <w:t xml:space="preserve"> preparation</w:t>
      </w:r>
      <w:r w:rsidR="0040072C">
        <w:t>s</w:t>
      </w:r>
      <w:r w:rsidR="004B3FD0">
        <w:t xml:space="preserve"> for conducting the population and housing census in 202</w:t>
      </w:r>
      <w:r w:rsidR="00017703">
        <w:t>1</w:t>
      </w:r>
      <w:r w:rsidR="004B3FD0">
        <w:t xml:space="preserve">. </w:t>
      </w:r>
      <w:r>
        <w:t>Th</w:t>
      </w:r>
      <w:r w:rsidR="00E74552">
        <w:t xml:space="preserve">e EU </w:t>
      </w:r>
      <w:r>
        <w:t>investment</w:t>
      </w:r>
      <w:r w:rsidR="00E74552">
        <w:t>s</w:t>
      </w:r>
      <w:r>
        <w:t xml:space="preserve"> will result in improved quality of the statistics</w:t>
      </w:r>
      <w:r w:rsidR="00E74552">
        <w:t>, increased range of EU-accepted statistics</w:t>
      </w:r>
      <w:r>
        <w:t xml:space="preserve"> and ensured user-friendly and client-sensitive access to statistics</w:t>
      </w:r>
      <w:r w:rsidR="00E74552">
        <w:t xml:space="preserve">. Implicitly, the improved statistics will better support the policy development, coordination and decision-making process, which in longer term run is expected to impact on achieving the sector and country objectives. At the same time, more and better statistics will contribute to </w:t>
      </w:r>
      <w:r w:rsidR="00AA02D3">
        <w:t>greater</w:t>
      </w:r>
      <w:r w:rsidR="00E74552">
        <w:t xml:space="preserve"> transparency of the country's systems, policies and progress achieved.</w:t>
      </w:r>
    </w:p>
    <w:p w:rsidR="003B58DF" w:rsidRDefault="003B58DF">
      <w:pPr>
        <w:pStyle w:val="ActionDocument"/>
      </w:pPr>
    </w:p>
    <w:p w:rsidR="00252DA0" w:rsidRPr="0045044B" w:rsidRDefault="005E4C45">
      <w:pPr>
        <w:pStyle w:val="ActionDocument"/>
        <w:rPr>
          <w:rFonts w:ascii="Arial" w:hAnsi="Arial" w:cs="Arial"/>
          <w:b/>
          <w:smallCaps/>
          <w:szCs w:val="24"/>
        </w:rPr>
      </w:pPr>
      <w:r w:rsidRPr="0045044B">
        <w:rPr>
          <w:rFonts w:ascii="Arial" w:hAnsi="Arial" w:cs="Arial"/>
          <w:b/>
          <w:smallCaps/>
          <w:szCs w:val="24"/>
        </w:rPr>
        <w:t>Relevance with the IPA II Strategy Paper and other key references</w:t>
      </w:r>
    </w:p>
    <w:p w:rsidR="008440B6" w:rsidRPr="00422D7E" w:rsidRDefault="002358B9" w:rsidP="008440B6">
      <w:pPr>
        <w:pStyle w:val="ActionDocument"/>
      </w:pPr>
      <w:r>
        <w:t>G</w:t>
      </w:r>
      <w:r w:rsidRPr="00422D7E">
        <w:t xml:space="preserve">overnance </w:t>
      </w:r>
      <w:r w:rsidR="008440B6" w:rsidRPr="00422D7E">
        <w:t xml:space="preserve">and </w:t>
      </w:r>
      <w:r w:rsidR="008440B6" w:rsidRPr="00422D7E">
        <w:rPr>
          <w:bCs/>
        </w:rPr>
        <w:t xml:space="preserve">Public Administration Reform </w:t>
      </w:r>
      <w:r w:rsidR="008440B6" w:rsidRPr="00422D7E">
        <w:t xml:space="preserve">are considered as </w:t>
      </w:r>
      <w:r>
        <w:t>"fundamentals"</w:t>
      </w:r>
      <w:r w:rsidR="008440B6" w:rsidRPr="00422D7E">
        <w:t xml:space="preserve"> in the accession process</w:t>
      </w:r>
      <w:r>
        <w:t xml:space="preserve"> and </w:t>
      </w:r>
      <w:r w:rsidR="00DA0B6E">
        <w:t>a cornerstone</w:t>
      </w:r>
      <w:r>
        <w:t xml:space="preserve"> in the accession strategy of the Commission</w:t>
      </w:r>
      <w:r w:rsidR="008440B6" w:rsidRPr="00422D7E">
        <w:t xml:space="preserve">. </w:t>
      </w:r>
      <w:r w:rsidR="008440B6">
        <w:t xml:space="preserve">Efficient and effective public administration is </w:t>
      </w:r>
      <w:r w:rsidR="008440B6" w:rsidRPr="00422D7E">
        <w:t>crucial to fulfil the Copenhagen criteria and has a key role in improving governance</w:t>
      </w:r>
      <w:r>
        <w:t>.</w:t>
      </w:r>
      <w:r w:rsidR="00DA0B6E">
        <w:t xml:space="preserve"> E</w:t>
      </w:r>
      <w:r w:rsidR="008440B6" w:rsidRPr="00422D7E">
        <w:t xml:space="preserve">nsuring </w:t>
      </w:r>
      <w:r w:rsidR="00DA0B6E">
        <w:t xml:space="preserve">the </w:t>
      </w:r>
      <w:r w:rsidR="008440B6" w:rsidRPr="00422D7E">
        <w:t xml:space="preserve">transparency and </w:t>
      </w:r>
      <w:r w:rsidR="00C54682">
        <w:t>accountabilty</w:t>
      </w:r>
      <w:r w:rsidR="008440B6" w:rsidRPr="00422D7E">
        <w:t xml:space="preserve"> of the civil service</w:t>
      </w:r>
      <w:r w:rsidR="00C54682">
        <w:t xml:space="preserve">  and improvement of the </w:t>
      </w:r>
      <w:r w:rsidR="008440B6" w:rsidRPr="00422D7E">
        <w:t>public services to citizens and businesses</w:t>
      </w:r>
      <w:r w:rsidR="00C54682">
        <w:t xml:space="preserve"> correspond directly to the priorities outlined in the country Indicative Strategy Paper (2014-2020)</w:t>
      </w:r>
    </w:p>
    <w:p w:rsidR="00252DA0" w:rsidRPr="001C3D6C" w:rsidRDefault="002E03C1">
      <w:pPr>
        <w:pStyle w:val="ActionDocument"/>
      </w:pPr>
      <w:r>
        <w:t>The country should</w:t>
      </w:r>
      <w:r w:rsidR="005E4C45" w:rsidRPr="006F55D6">
        <w:t xml:space="preserve"> fulfil</w:t>
      </w:r>
      <w:r w:rsidR="005E4C45" w:rsidRPr="001C3D6C">
        <w:t xml:space="preserve"> obligations emphasized in the Stabilisation and Association Agreement (SAA)</w:t>
      </w:r>
      <w:r w:rsidR="005E4C45" w:rsidRPr="006F55D6">
        <w:t xml:space="preserve">, </w:t>
      </w:r>
      <w:r w:rsidR="00C54682">
        <w:t>and</w:t>
      </w:r>
      <w:r w:rsidR="005E4C45" w:rsidRPr="006F55D6">
        <w:t xml:space="preserve"> the previous </w:t>
      </w:r>
      <w:r w:rsidR="005E4C45" w:rsidRPr="001C3D6C">
        <w:t>European Partnership (EP)</w:t>
      </w:r>
      <w:r w:rsidR="005E4C45" w:rsidRPr="006F55D6">
        <w:t xml:space="preserve"> where PAR was identified as one of the key priorities. Progress in fulfi</w:t>
      </w:r>
      <w:r w:rsidR="005E4C45" w:rsidRPr="001C3D6C">
        <w:t>lment of the EP priorities was monitored through the High Level Accession Dialogue (HLAD)</w:t>
      </w:r>
      <w:r w:rsidR="005E4C45" w:rsidRPr="006F55D6">
        <w:t xml:space="preserve"> which represented a central channel for political, economic and technical dialogue between the EU and the </w:t>
      </w:r>
      <w:r w:rsidR="00B123BA" w:rsidRPr="00B123BA">
        <w:rPr>
          <w:b/>
        </w:rPr>
        <w:t>Republic of Macedonia</w:t>
      </w:r>
      <w:r w:rsidR="005E4C45" w:rsidRPr="006F55D6">
        <w:t>.</w:t>
      </w:r>
    </w:p>
    <w:p w:rsidR="00815611" w:rsidRPr="00422D7E" w:rsidRDefault="00815611" w:rsidP="00815611">
      <w:pPr>
        <w:pStyle w:val="ActionDocument"/>
        <w:rPr>
          <w:rFonts w:eastAsia="Times New Roman"/>
          <w:lang w:eastAsia="mk-MK"/>
        </w:rPr>
      </w:pPr>
      <w:r w:rsidRPr="00422D7E">
        <w:rPr>
          <w:rFonts w:eastAsia="Times New Roman"/>
          <w:lang w:eastAsia="mk-MK"/>
        </w:rPr>
        <w:t xml:space="preserve">Not less important are the Madrid criteria which are related to the functionality of the public administrations. </w:t>
      </w:r>
      <w:r w:rsidR="00FF385C">
        <w:rPr>
          <w:rFonts w:eastAsia="Times New Roman"/>
          <w:lang w:eastAsia="mk-MK"/>
        </w:rPr>
        <w:t xml:space="preserve">In line with the new approach on PAR, which the European Commission is advocating since the 2014-15 enlargement strategy, the enlargement countries </w:t>
      </w:r>
      <w:r w:rsidRPr="00422D7E">
        <w:rPr>
          <w:rFonts w:eastAsia="Times New Roman"/>
          <w:lang w:eastAsia="mk-MK"/>
        </w:rPr>
        <w:t xml:space="preserve">should </w:t>
      </w:r>
      <w:r w:rsidR="00FF385C">
        <w:rPr>
          <w:rFonts w:eastAsia="Times New Roman"/>
          <w:lang w:eastAsia="mk-MK"/>
        </w:rPr>
        <w:t xml:space="preserve">aim to meet </w:t>
      </w:r>
      <w:r w:rsidRPr="00422D7E">
        <w:rPr>
          <w:rFonts w:eastAsia="Times New Roman"/>
          <w:lang w:eastAsia="mk-MK"/>
        </w:rPr>
        <w:t xml:space="preserve">the </w:t>
      </w:r>
      <w:r w:rsidR="00FF385C">
        <w:rPr>
          <w:rFonts w:eastAsia="Times New Roman"/>
          <w:lang w:eastAsia="mk-MK"/>
        </w:rPr>
        <w:t>P</w:t>
      </w:r>
      <w:r w:rsidRPr="00422D7E">
        <w:rPr>
          <w:rFonts w:eastAsia="Times New Roman"/>
          <w:lang w:eastAsia="mk-MK"/>
        </w:rPr>
        <w:t xml:space="preserve">rinciples of </w:t>
      </w:r>
      <w:r w:rsidR="00FF385C">
        <w:rPr>
          <w:rFonts w:eastAsia="Times New Roman"/>
          <w:lang w:eastAsia="mk-MK"/>
        </w:rPr>
        <w:t>Public Administration, which the OECD/SIGMA has developed in close coordination with the European Commission. These principles</w:t>
      </w:r>
      <w:r w:rsidR="00F90B56">
        <w:rPr>
          <w:rFonts w:eastAsia="Times New Roman"/>
          <w:lang w:eastAsia="mk-MK"/>
        </w:rPr>
        <w:t xml:space="preserve">, which derive from universal principles of good governance, OECD standards and partially also from the </w:t>
      </w:r>
      <w:r w:rsidR="00F90B56" w:rsidRPr="0004385B">
        <w:rPr>
          <w:rFonts w:eastAsia="Times New Roman"/>
          <w:i/>
          <w:lang w:eastAsia="mk-MK"/>
        </w:rPr>
        <w:t>acquis</w:t>
      </w:r>
      <w:r w:rsidR="00F90B56">
        <w:rPr>
          <w:rFonts w:eastAsia="Times New Roman"/>
          <w:lang w:eastAsia="mk-MK"/>
        </w:rPr>
        <w:t>,</w:t>
      </w:r>
      <w:r w:rsidR="00FF385C">
        <w:rPr>
          <w:rFonts w:eastAsia="Times New Roman"/>
          <w:lang w:eastAsia="mk-MK"/>
        </w:rPr>
        <w:t xml:space="preserve"> define</w:t>
      </w:r>
      <w:r w:rsidR="004D356B" w:rsidRPr="004D356B">
        <w:rPr>
          <w:rFonts w:eastAsia="Times New Roman"/>
          <w:lang w:eastAsia="mk-MK"/>
        </w:rPr>
        <w:t xml:space="preserve"> detailed requirements for a well-functioning public administration in </w:t>
      </w:r>
      <w:r w:rsidR="001134E1">
        <w:rPr>
          <w:rFonts w:eastAsia="Times New Roman"/>
          <w:lang w:eastAsia="mk-MK"/>
        </w:rPr>
        <w:t>different c</w:t>
      </w:r>
      <w:r w:rsidR="004D356B" w:rsidRPr="004D356B">
        <w:rPr>
          <w:rFonts w:eastAsia="Times New Roman"/>
          <w:lang w:eastAsia="mk-MK"/>
        </w:rPr>
        <w:t>ore areas</w:t>
      </w:r>
      <w:r w:rsidR="001134E1">
        <w:rPr>
          <w:rFonts w:eastAsia="Times New Roman"/>
          <w:lang w:eastAsia="mk-MK"/>
        </w:rPr>
        <w:t xml:space="preserve"> of PAR. The principles, together with the OECD/SIGMA baseline assessments </w:t>
      </w:r>
      <w:r w:rsidR="00FF385C">
        <w:rPr>
          <w:rFonts w:eastAsia="Times New Roman"/>
          <w:lang w:eastAsia="mk-MK"/>
        </w:rPr>
        <w:t xml:space="preserve">provide </w:t>
      </w:r>
      <w:r w:rsidR="001134E1">
        <w:rPr>
          <w:rFonts w:eastAsia="Times New Roman"/>
          <w:lang w:eastAsia="mk-MK"/>
        </w:rPr>
        <w:t xml:space="preserve">concrete </w:t>
      </w:r>
      <w:r w:rsidR="00FF385C">
        <w:rPr>
          <w:rFonts w:eastAsia="Times New Roman"/>
          <w:lang w:eastAsia="mk-MK"/>
        </w:rPr>
        <w:t xml:space="preserve">guidance </w:t>
      </w:r>
      <w:r w:rsidR="00F90B56">
        <w:rPr>
          <w:rFonts w:eastAsia="Times New Roman"/>
          <w:lang w:eastAsia="mk-MK"/>
        </w:rPr>
        <w:t xml:space="preserve">to enlargement countries on </w:t>
      </w:r>
      <w:r w:rsidR="001134E1">
        <w:rPr>
          <w:rFonts w:eastAsia="Times New Roman"/>
          <w:lang w:eastAsia="mk-MK"/>
        </w:rPr>
        <w:t xml:space="preserve">how </w:t>
      </w:r>
      <w:r w:rsidRPr="00422D7E">
        <w:rPr>
          <w:rFonts w:eastAsia="Times New Roman"/>
          <w:lang w:eastAsia="mk-MK"/>
        </w:rPr>
        <w:t xml:space="preserve">to have </w:t>
      </w:r>
      <w:r w:rsidR="001134E1">
        <w:rPr>
          <w:rFonts w:eastAsia="Times New Roman"/>
          <w:lang w:eastAsia="mk-MK"/>
        </w:rPr>
        <w:t xml:space="preserve">an </w:t>
      </w:r>
      <w:r w:rsidRPr="00422D7E">
        <w:rPr>
          <w:rFonts w:eastAsia="Times New Roman"/>
          <w:lang w:eastAsia="mk-MK"/>
        </w:rPr>
        <w:t>effective, efficient, responsive, service-oriented, competent and responsible public administration. Also, the public and state servants should be well-educated, professional, highly qualified, but they also need to have good language, computer and communication knowledge and skills.</w:t>
      </w:r>
    </w:p>
    <w:p w:rsidR="00252DA0" w:rsidRPr="001C3D6C" w:rsidRDefault="005E4C45">
      <w:pPr>
        <w:rPr>
          <w:rFonts w:ascii="Times New Roman" w:hAnsi="Times New Roman" w:cs="Times New Roman"/>
        </w:rPr>
      </w:pPr>
      <w:r w:rsidRPr="006F55D6">
        <w:rPr>
          <w:rFonts w:ascii="Times New Roman" w:hAnsi="Times New Roman" w:cs="Times New Roman"/>
        </w:rPr>
        <w:t xml:space="preserve">Objectives and interventions of this Action are also in line with the mid-term priorities set in the </w:t>
      </w:r>
      <w:r w:rsidRPr="001C3D6C">
        <w:rPr>
          <w:rFonts w:ascii="Times New Roman" w:hAnsi="Times New Roman" w:cs="Times New Roman"/>
        </w:rPr>
        <w:t xml:space="preserve">National Programme for the Adoption of </w:t>
      </w:r>
      <w:r w:rsidRPr="001C3D6C">
        <w:rPr>
          <w:rFonts w:ascii="Times New Roman" w:hAnsi="Times New Roman" w:cs="Times New Roman"/>
          <w:i/>
        </w:rPr>
        <w:t>Acquis</w:t>
      </w:r>
      <w:r w:rsidRPr="001C3D6C">
        <w:rPr>
          <w:rFonts w:ascii="Times New Roman" w:hAnsi="Times New Roman" w:cs="Times New Roman"/>
        </w:rPr>
        <w:t xml:space="preserve"> (NPAA)</w:t>
      </w:r>
      <w:r w:rsidRPr="006F55D6">
        <w:rPr>
          <w:rFonts w:ascii="Times New Roman" w:hAnsi="Times New Roman" w:cs="Times New Roman"/>
        </w:rPr>
        <w:t xml:space="preserve">, including continuous complexity of the public services, practicing quality standards and improving communication with the </w:t>
      </w:r>
      <w:r w:rsidRPr="001C3D6C">
        <w:rPr>
          <w:rFonts w:ascii="Times New Roman" w:hAnsi="Times New Roman" w:cs="Times New Roman"/>
        </w:rPr>
        <w:t>public.</w:t>
      </w:r>
    </w:p>
    <w:p w:rsidR="00252DA0" w:rsidRDefault="005E4C45" w:rsidP="00A57F02">
      <w:pPr>
        <w:pStyle w:val="ActionDocument"/>
        <w:rPr>
          <w:sz w:val="18"/>
          <w:szCs w:val="18"/>
        </w:rPr>
      </w:pPr>
      <w:r w:rsidRPr="001C3D6C">
        <w:t xml:space="preserve">The </w:t>
      </w:r>
      <w:r w:rsidR="007A4606">
        <w:t xml:space="preserve">proposed Action echoes the main findings of the </w:t>
      </w:r>
      <w:r w:rsidR="001134E1">
        <w:t xml:space="preserve">2016 </w:t>
      </w:r>
      <w:r w:rsidRPr="001C3D6C">
        <w:t xml:space="preserve">EC </w:t>
      </w:r>
      <w:r w:rsidR="001134E1">
        <w:t xml:space="preserve">Country </w:t>
      </w:r>
      <w:r w:rsidRPr="001C3D6C">
        <w:t xml:space="preserve">Report </w:t>
      </w:r>
      <w:r w:rsidR="007A4606">
        <w:t>and corresponds to the key priorities identified in the country</w:t>
      </w:r>
      <w:r w:rsidR="009B0748">
        <w:t>Indicative Strategy Paper</w:t>
      </w:r>
      <w:r w:rsidR="007A4606">
        <w:t>and confirmed through the 2017</w:t>
      </w:r>
      <w:r w:rsidR="009B0748">
        <w:t xml:space="preserve"> ISP</w:t>
      </w:r>
      <w:r w:rsidR="007A4606">
        <w:t xml:space="preserve"> revision. </w:t>
      </w:r>
    </w:p>
    <w:p w:rsidR="00252DA0" w:rsidRPr="00FE258A" w:rsidRDefault="005E4C45" w:rsidP="00E8678A">
      <w:pPr>
        <w:pStyle w:val="ActionDocument"/>
        <w:spacing w:before="360"/>
        <w:rPr>
          <w:rFonts w:ascii="Arial" w:hAnsi="Arial" w:cs="Arial"/>
          <w:b/>
          <w:smallCaps/>
          <w:szCs w:val="24"/>
        </w:rPr>
      </w:pPr>
      <w:r w:rsidRPr="00FE258A">
        <w:rPr>
          <w:rFonts w:ascii="Arial" w:hAnsi="Arial" w:cs="Arial"/>
          <w:b/>
          <w:smallCaps/>
          <w:szCs w:val="24"/>
        </w:rPr>
        <w:t>Lessons learned and link to previous financial assistance</w:t>
      </w:r>
    </w:p>
    <w:p w:rsidR="00252DA0" w:rsidRDefault="005E4C45" w:rsidP="009E1D9B">
      <w:pPr>
        <w:pStyle w:val="ActionDocument"/>
        <w:rPr>
          <w:bCs/>
        </w:rPr>
      </w:pPr>
      <w:r>
        <w:t xml:space="preserve">To date, the EU has provided significant support for PAR, amounting to 6.8 MEUR in the period 2007-2013 and focused on </w:t>
      </w:r>
      <w:r w:rsidR="008B2AAF">
        <w:t xml:space="preserve">key </w:t>
      </w:r>
      <w:r>
        <w:t>priorit</w:t>
      </w:r>
      <w:r w:rsidR="008B2AAF">
        <w:t>ies such as</w:t>
      </w:r>
      <w:r>
        <w:t>:</w:t>
      </w:r>
      <w:r w:rsidR="008B2AAF">
        <w:t xml:space="preserve"> 1) </w:t>
      </w:r>
      <w:r>
        <w:t xml:space="preserve">modernisation of the administrative framework including adoption and support for implementation of flagship laws to regulate the employment of public servants and their salaries, general administrative procedures, administrative disputes, to support anti-corruption and access to public information, </w:t>
      </w:r>
      <w:r w:rsidR="008B2AAF">
        <w:t xml:space="preserve">2) </w:t>
      </w:r>
      <w:r>
        <w:rPr>
          <w:bCs/>
        </w:rPr>
        <w:t>strengthening the national training system for public administration;</w:t>
      </w:r>
      <w:r w:rsidR="008B2AAF">
        <w:rPr>
          <w:bCs/>
        </w:rPr>
        <w:t xml:space="preserve"> 3)</w:t>
      </w:r>
      <w:r>
        <w:rPr>
          <w:bCs/>
        </w:rPr>
        <w:t>implementation of the first stage of data interoperability</w:t>
      </w:r>
      <w:r w:rsidR="008B2AAF">
        <w:rPr>
          <w:bCs/>
        </w:rPr>
        <w:t xml:space="preserve"> and 4) </w:t>
      </w:r>
      <w:r>
        <w:rPr>
          <w:bCs/>
        </w:rPr>
        <w:t xml:space="preserve">preparation of a catalogue of work positions </w:t>
      </w:r>
      <w:r w:rsidR="008B2AAF">
        <w:rPr>
          <w:bCs/>
        </w:rPr>
        <w:t>in public administration.</w:t>
      </w:r>
    </w:p>
    <w:p w:rsidR="00D16617" w:rsidRPr="00D16617" w:rsidRDefault="0095385A" w:rsidP="009E1D9B">
      <w:pPr>
        <w:pStyle w:val="ActionDocument"/>
      </w:pPr>
      <w:r w:rsidRPr="00D16617">
        <w:rPr>
          <w:bCs/>
        </w:rPr>
        <w:t xml:space="preserve">Significant </w:t>
      </w:r>
      <w:r w:rsidR="00484D06">
        <w:rPr>
          <w:bCs/>
        </w:rPr>
        <w:t xml:space="preserve">IPA </w:t>
      </w:r>
      <w:r w:rsidRPr="00D16617">
        <w:rPr>
          <w:bCs/>
        </w:rPr>
        <w:t xml:space="preserve">support </w:t>
      </w:r>
      <w:r w:rsidR="00D16617" w:rsidRPr="00D16617">
        <w:rPr>
          <w:bCs/>
        </w:rPr>
        <w:t xml:space="preserve">amounting </w:t>
      </w:r>
      <w:r w:rsidR="00D16617" w:rsidRPr="00484D06">
        <w:rPr>
          <w:bCs/>
        </w:rPr>
        <w:t xml:space="preserve">to </w:t>
      </w:r>
      <w:r w:rsidR="00484D06" w:rsidRPr="00A57F02">
        <w:rPr>
          <w:bCs/>
        </w:rPr>
        <w:t>EUR 7.4</w:t>
      </w:r>
      <w:r w:rsidR="00D16617" w:rsidRPr="00A57F02">
        <w:rPr>
          <w:bCs/>
        </w:rPr>
        <w:t xml:space="preserve"> EUR</w:t>
      </w:r>
      <w:r w:rsidRPr="00484D06">
        <w:rPr>
          <w:bCs/>
        </w:rPr>
        <w:t>was</w:t>
      </w:r>
      <w:r w:rsidRPr="00D16617">
        <w:rPr>
          <w:bCs/>
        </w:rPr>
        <w:t xml:space="preserve"> also provided for further </w:t>
      </w:r>
      <w:r w:rsidRPr="00484D06">
        <w:rPr>
          <w:bCs/>
        </w:rPr>
        <w:t xml:space="preserve">harmonisation of the national statistics and the statistical system with the EU standards and statistical principles.  </w:t>
      </w:r>
      <w:r w:rsidR="00484D06" w:rsidRPr="00A57F02">
        <w:rPr>
          <w:bCs/>
        </w:rPr>
        <w:t>11</w:t>
      </w:r>
      <w:r w:rsidR="00484D06">
        <w:rPr>
          <w:bCs/>
        </w:rPr>
        <w:t xml:space="preserve">national nad regional </w:t>
      </w:r>
      <w:r w:rsidR="00D16617" w:rsidRPr="00A57F02">
        <w:rPr>
          <w:bCs/>
        </w:rPr>
        <w:t>projects</w:t>
      </w:r>
      <w:r w:rsidR="00D16617" w:rsidRPr="00D16617">
        <w:rPr>
          <w:bCs/>
        </w:rPr>
        <w:t xml:space="preserve"> were so far implemented to </w:t>
      </w:r>
      <w:r w:rsidR="00D16617">
        <w:rPr>
          <w:bCs/>
        </w:rPr>
        <w:t>upgrade</w:t>
      </w:r>
      <w:r w:rsidR="00D16617" w:rsidRPr="00D16617">
        <w:rPr>
          <w:bCs/>
        </w:rPr>
        <w:t xml:space="preserve"> the capacities of the SSO, i</w:t>
      </w:r>
      <w:r w:rsidR="00D16617" w:rsidRPr="00AC2900">
        <w:t xml:space="preserve">mprove statistical registers and links between registers and administrative data sources, </w:t>
      </w:r>
      <w:r w:rsidR="00D16617">
        <w:t>harmonise national accounts and</w:t>
      </w:r>
      <w:r w:rsidR="00D16617" w:rsidRPr="00AC2900">
        <w:t xml:space="preserve"> sector statistics </w:t>
      </w:r>
      <w:r w:rsidR="00D16617">
        <w:t>with the</w:t>
      </w:r>
      <w:r w:rsidR="00D16617" w:rsidRPr="00AC2900">
        <w:t xml:space="preserve"> EU standards</w:t>
      </w:r>
      <w:r w:rsidR="00484D06">
        <w:t>.</w:t>
      </w:r>
    </w:p>
    <w:p w:rsidR="00252DA0" w:rsidRDefault="005E4C45">
      <w:pPr>
        <w:pStyle w:val="ActionDocument"/>
      </w:pPr>
      <w:r>
        <w:t>In light of th</w:t>
      </w:r>
      <w:r w:rsidR="00716BE2">
        <w:t>e</w:t>
      </w:r>
      <w:r w:rsidR="00425074">
        <w:t xml:space="preserve">previous </w:t>
      </w:r>
      <w:r w:rsidR="00716BE2">
        <w:t xml:space="preserve">and ongoing </w:t>
      </w:r>
      <w:r w:rsidR="004939A2">
        <w:t>support</w:t>
      </w:r>
      <w:r>
        <w:t xml:space="preserve">, a number of lessons </w:t>
      </w:r>
      <w:r w:rsidR="006031A3">
        <w:t>ha</w:t>
      </w:r>
      <w:r w:rsidR="00EB3D87">
        <w:t>ve</w:t>
      </w:r>
      <w:r>
        <w:t>be</w:t>
      </w:r>
      <w:r w:rsidR="006031A3">
        <w:t>en</w:t>
      </w:r>
      <w:r>
        <w:t xml:space="preserve"> derived</w:t>
      </w:r>
      <w:r w:rsidR="00425074">
        <w:t>:</w:t>
      </w:r>
    </w:p>
    <w:p w:rsidR="00252DA0" w:rsidRDefault="0095385A" w:rsidP="00E8678A">
      <w:pPr>
        <w:pStyle w:val="ActionDocument"/>
        <w:numPr>
          <w:ilvl w:val="0"/>
          <w:numId w:val="56"/>
        </w:numPr>
        <w:spacing w:before="60" w:after="0"/>
      </w:pPr>
      <w:r>
        <w:t xml:space="preserve">Strong </w:t>
      </w:r>
      <w:r w:rsidR="005E4C45">
        <w:t>political</w:t>
      </w:r>
      <w:r w:rsidR="00425074">
        <w:t xml:space="preserve"> commitment and</w:t>
      </w:r>
      <w:r w:rsidR="005E4C45">
        <w:t xml:space="preserve"> support </w:t>
      </w:r>
      <w:r w:rsidR="00425074">
        <w:t>ensures</w:t>
      </w:r>
      <w:r w:rsidR="005E4C45">
        <w:t xml:space="preserve"> the sustainability of achieved results; hence the need of ownership and commitment of </w:t>
      </w:r>
      <w:r w:rsidR="006031A3">
        <w:t xml:space="preserve">decision-makers heading the </w:t>
      </w:r>
      <w:r w:rsidR="005E4C45">
        <w:t>bodies involved in PAR</w:t>
      </w:r>
      <w:r>
        <w:t xml:space="preserve"> and statistics</w:t>
      </w:r>
      <w:r w:rsidR="008B2AAF">
        <w:t>.</w:t>
      </w:r>
      <w:r>
        <w:t xml:space="preserve"> Indicators for this commitment include the adoption of the PAR Strategy and ensuring funds for its implementation.</w:t>
      </w:r>
    </w:p>
    <w:p w:rsidR="00252DA0" w:rsidRDefault="0095385A" w:rsidP="00E8678A">
      <w:pPr>
        <w:pStyle w:val="ActionDocument"/>
        <w:numPr>
          <w:ilvl w:val="0"/>
          <w:numId w:val="56"/>
        </w:numPr>
        <w:spacing w:before="60" w:after="0"/>
      </w:pPr>
      <w:r>
        <w:t>F</w:t>
      </w:r>
      <w:r w:rsidR="005E4C45">
        <w:t xml:space="preserve">urther inclusion of the CSOs </w:t>
      </w:r>
      <w:r w:rsidR="00425074">
        <w:t xml:space="preserve">and other key stakeholders </w:t>
      </w:r>
      <w:r w:rsidR="005E4C45">
        <w:t xml:space="preserve">in the </w:t>
      </w:r>
      <w:r w:rsidR="00425074">
        <w:t xml:space="preserve">policy and legislative development and </w:t>
      </w:r>
      <w:r w:rsidR="005E4C45">
        <w:t>decision-making process, is crucial</w:t>
      </w:r>
      <w:r w:rsidR="00425074">
        <w:t xml:space="preserve"> for </w:t>
      </w:r>
      <w:r w:rsidR="003E4FF3">
        <w:t xml:space="preserve">improving quality of policies and legislation, </w:t>
      </w:r>
      <w:r w:rsidR="005E4C45">
        <w:t>preventi</w:t>
      </w:r>
      <w:r w:rsidR="00425074">
        <w:t xml:space="preserve">ng </w:t>
      </w:r>
      <w:r w:rsidR="005E4C45">
        <w:t xml:space="preserve">corruption, </w:t>
      </w:r>
      <w:r w:rsidR="00425074">
        <w:t>improv</w:t>
      </w:r>
      <w:r w:rsidR="003E4FF3">
        <w:t xml:space="preserve">ing </w:t>
      </w:r>
      <w:r w:rsidR="005E4C45">
        <w:t>access to information</w:t>
      </w:r>
      <w:r w:rsidR="008B2AAF">
        <w:t xml:space="preserve"> and </w:t>
      </w:r>
      <w:r w:rsidR="00425074">
        <w:t>increas</w:t>
      </w:r>
      <w:r w:rsidR="003E4FF3">
        <w:t>ing</w:t>
      </w:r>
      <w:r w:rsidR="008B2AAF">
        <w:t>transparency.</w:t>
      </w:r>
      <w:r>
        <w:t xml:space="preserve"> Therefore, involvement of the CSOs in monitoring the implementation of the PAR Strategy through the established mechanisms (Sector working groups, CSOs-IPA platform, regular consultations in the context of the preparation of the country report) will be backed-up by a more dedicated involvement of the CSOs in monitoring the implementation of the  PAR Strategy (achieved through a grant under the Civil Society Facility</w:t>
      </w:r>
      <w:r w:rsidR="001E6217">
        <w:t xml:space="preserve"> or the EU integration facility</w:t>
      </w:r>
      <w:r>
        <w:t>)</w:t>
      </w:r>
    </w:p>
    <w:p w:rsidR="00252DA0" w:rsidRDefault="00943A06" w:rsidP="00E8678A">
      <w:pPr>
        <w:pStyle w:val="ActionDocument"/>
        <w:numPr>
          <w:ilvl w:val="0"/>
          <w:numId w:val="56"/>
        </w:numPr>
        <w:spacing w:before="60" w:after="0"/>
      </w:pPr>
      <w:r>
        <w:t xml:space="preserve">A more transparent communication strategy on </w:t>
      </w:r>
      <w:r w:rsidR="000A3549">
        <w:t xml:space="preserve">implementation of </w:t>
      </w:r>
      <w:r w:rsidR="0095385A">
        <w:t xml:space="preserve">the </w:t>
      </w:r>
      <w:r>
        <w:t xml:space="preserve">PAR is necessary </w:t>
      </w:r>
      <w:r w:rsidR="00716BE2">
        <w:t xml:space="preserve">to promote the EU support and </w:t>
      </w:r>
      <w:r>
        <w:t>to better engage citizens</w:t>
      </w:r>
      <w:r w:rsidR="0095385A">
        <w:t xml:space="preserve"> in monitoring the reforms</w:t>
      </w:r>
      <w:r w:rsidR="000A3549">
        <w:t xml:space="preserve">. </w:t>
      </w:r>
      <w:r w:rsidR="00716BE2">
        <w:t xml:space="preserve">Particularly in the sectors such as PAR and Statistics, traditionally suffering a deficit of citizens' attention, innovative </w:t>
      </w:r>
      <w:r w:rsidR="004E7485">
        <w:t>and</w:t>
      </w:r>
      <w:r w:rsidR="005E4C45">
        <w:t xml:space="preserve"> attractive way</w:t>
      </w:r>
      <w:r w:rsidR="00716BE2">
        <w:t xml:space="preserve"> of visibility and communication, are needed</w:t>
      </w:r>
      <w:r w:rsidR="005E4C45">
        <w:t xml:space="preserve"> to reach society and gain the social </w:t>
      </w:r>
      <w:r w:rsidR="006031A3">
        <w:t>support for</w:t>
      </w:r>
      <w:r w:rsidR="005E4C45">
        <w:t xml:space="preserve"> the reforms</w:t>
      </w:r>
      <w:r w:rsidR="00716BE2">
        <w:t xml:space="preserve"> and for the EU policy</w:t>
      </w:r>
      <w:r w:rsidR="005E4C45">
        <w:t xml:space="preserve">. Implicitly, </w:t>
      </w:r>
      <w:r w:rsidR="00716BE2">
        <w:t>greater interest</w:t>
      </w:r>
      <w:r w:rsidR="005E4C45">
        <w:t xml:space="preserve"> of the public drives and stimulates political </w:t>
      </w:r>
      <w:r w:rsidR="00716BE2">
        <w:t xml:space="preserve">commitment </w:t>
      </w:r>
      <w:r w:rsidR="005E4C45">
        <w:t>and consensus.</w:t>
      </w:r>
    </w:p>
    <w:p w:rsidR="00D16617" w:rsidRDefault="00716BE2" w:rsidP="00A57F02">
      <w:pPr>
        <w:pStyle w:val="ActionDocument"/>
        <w:numPr>
          <w:ilvl w:val="0"/>
          <w:numId w:val="56"/>
        </w:numPr>
        <w:spacing w:before="60" w:after="0"/>
      </w:pPr>
      <w:r w:rsidRPr="008B2AAF">
        <w:t xml:space="preserve">The sector assessment indicates that it is indeed necessary to improve the management of the </w:t>
      </w:r>
      <w:r w:rsidRPr="00D127FF">
        <w:t>public administration reform and the sector coordination.</w:t>
      </w:r>
      <w:r w:rsidRPr="00716BE2">
        <w:t xml:space="preserve">MISA needs to strengthen its </w:t>
      </w:r>
      <w:r>
        <w:t xml:space="preserve">human management and </w:t>
      </w:r>
      <w:r w:rsidRPr="00716BE2">
        <w:t xml:space="preserve">retention policy and focus on training of the public servants. Adequate measures to address this finding have been included in the NIPAC Action Plan.  Even though the closure of these recommendations is still pending, efforts are being made by NIPAC office and MISA to implement suitable solutions. The establishment of a sector working group for PAR and Statistics in 2016 is a key step in improving sector coordination and the reform management.  </w:t>
      </w:r>
    </w:p>
    <w:p w:rsidR="00D16617" w:rsidRPr="009040CB" w:rsidRDefault="00D16617" w:rsidP="009040CB">
      <w:pPr>
        <w:pStyle w:val="ActionDocument"/>
        <w:numPr>
          <w:ilvl w:val="0"/>
          <w:numId w:val="56"/>
        </w:numPr>
        <w:spacing w:before="60" w:after="0"/>
        <w:rPr>
          <w:rFonts w:ascii="Calibri" w:hAnsi="Calibri" w:cs="Calibri"/>
        </w:rPr>
      </w:pPr>
      <w:r>
        <w:rPr>
          <w:lang w:eastAsia="mk-MK"/>
        </w:rPr>
        <w:t>On a more technical note, the projects need to be carefully prepared and planned while focus on sustainability and impact must be maintained since the programming stage.</w:t>
      </w:r>
      <w:r>
        <w:t xml:space="preserve"> Complex projects, i.e. in the statistical area, </w:t>
      </w:r>
      <w:r w:rsidR="00060FA5">
        <w:t xml:space="preserve">require constant monitoring and involvement of the </w:t>
      </w:r>
      <w:r w:rsidR="009B0748">
        <w:t>stakeholders</w:t>
      </w:r>
      <w:r w:rsidR="00060FA5">
        <w:t>.</w:t>
      </w:r>
    </w:p>
    <w:p w:rsidR="00D127FF" w:rsidRDefault="00D127FF">
      <w:pPr>
        <w:pStyle w:val="Heading1"/>
        <w:rPr>
          <w:rFonts w:ascii="Times New Roman" w:hAnsi="Times New Roman" w:cs="Times New Roman"/>
        </w:rPr>
        <w:sectPr w:rsidR="00D127FF" w:rsidSect="004B3FD0">
          <w:footerReference w:type="default" r:id="rId14"/>
          <w:footerReference w:type="first" r:id="rId15"/>
          <w:footnotePr>
            <w:numRestart w:val="eachSect"/>
          </w:footnotePr>
          <w:pgSz w:w="11906" w:h="16838" w:code="9"/>
          <w:pgMar w:top="851" w:right="1135" w:bottom="1134" w:left="1276" w:header="709" w:footer="283" w:gutter="0"/>
          <w:cols w:space="708"/>
          <w:titlePg/>
          <w:docGrid w:linePitch="360"/>
        </w:sectPr>
      </w:pPr>
    </w:p>
    <w:p w:rsidR="00252DA0" w:rsidRPr="00FE258A" w:rsidRDefault="005E4C45">
      <w:pPr>
        <w:pStyle w:val="Heading1"/>
      </w:pPr>
      <w:r w:rsidRPr="00FE258A">
        <w:t xml:space="preserve">2. Intervention logic </w:t>
      </w:r>
    </w:p>
    <w:p w:rsidR="00252DA0" w:rsidRDefault="005E4C45">
      <w:pPr>
        <w:pStyle w:val="BodyText"/>
        <w:spacing w:before="240" w:after="240"/>
        <w:outlineLvl w:val="0"/>
        <w:rPr>
          <w:rFonts w:ascii="Times New Roman" w:hAnsi="Times New Roman" w:cs="Times New Roman"/>
          <w:bCs/>
          <w:smallCaps/>
          <w:lang w:val="en-GB"/>
        </w:rPr>
      </w:pPr>
      <w:r>
        <w:rPr>
          <w:rFonts w:ascii="Times New Roman" w:hAnsi="Times New Roman" w:cs="Times New Roman"/>
          <w:bCs/>
          <w:smallCaps/>
          <w:lang w:val="en-GB"/>
        </w:rPr>
        <w:t xml:space="preserve">Logical framework matrix </w:t>
      </w:r>
    </w:p>
    <w:tbl>
      <w:tblPr>
        <w:tblW w:w="14884" w:type="dxa"/>
        <w:tblInd w:w="70" w:type="dxa"/>
        <w:tblLayout w:type="fixed"/>
        <w:tblCellMar>
          <w:left w:w="70" w:type="dxa"/>
          <w:right w:w="70" w:type="dxa"/>
        </w:tblCellMar>
        <w:tblLook w:val="0000"/>
      </w:tblPr>
      <w:tblGrid>
        <w:gridCol w:w="3119"/>
        <w:gridCol w:w="6095"/>
        <w:gridCol w:w="2835"/>
        <w:gridCol w:w="2835"/>
      </w:tblGrid>
      <w:tr w:rsidR="00252DA0" w:rsidTr="00484A66">
        <w:trPr>
          <w:trHeight w:val="317"/>
        </w:trPr>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b/>
                <w:sz w:val="20"/>
                <w:szCs w:val="20"/>
              </w:rPr>
            </w:pPr>
            <w:r w:rsidRPr="0092695A">
              <w:rPr>
                <w:rFonts w:ascii="Times New Roman" w:hAnsi="Times New Roman" w:cs="Times New Roman"/>
                <w:b/>
                <w:sz w:val="20"/>
                <w:szCs w:val="20"/>
              </w:rPr>
              <w:t>OVERALL OBJECTIVE</w:t>
            </w:r>
          </w:p>
        </w:tc>
        <w:tc>
          <w:tcPr>
            <w:tcW w:w="6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OBJECTIVELY VERIFIABLE INDICATORS</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SOURCES OF VERIFICATION</w:t>
            </w:r>
          </w:p>
        </w:tc>
        <w:tc>
          <w:tcPr>
            <w:tcW w:w="2835" w:type="dxa"/>
            <w:vMerge w:val="restart"/>
            <w:tcBorders>
              <w:left w:val="single" w:sz="8" w:space="0" w:color="auto"/>
            </w:tcBorders>
          </w:tcPr>
          <w:p w:rsidR="00252DA0" w:rsidRPr="0092695A" w:rsidRDefault="00252DA0">
            <w:pPr>
              <w:spacing w:before="0" w:after="0"/>
              <w:jc w:val="left"/>
              <w:rPr>
                <w:rFonts w:ascii="Times New Roman" w:hAnsi="Times New Roman" w:cs="Times New Roman"/>
                <w:sz w:val="20"/>
                <w:szCs w:val="20"/>
              </w:rPr>
            </w:pPr>
          </w:p>
        </w:tc>
      </w:tr>
      <w:tr w:rsidR="00823726" w:rsidRPr="00FE515C" w:rsidTr="00484A66">
        <w:trPr>
          <w:trHeight w:val="255"/>
        </w:trPr>
        <w:tc>
          <w:tcPr>
            <w:tcW w:w="3119" w:type="dxa"/>
            <w:vMerge w:val="restart"/>
            <w:tcBorders>
              <w:top w:val="single" w:sz="8" w:space="0" w:color="auto"/>
              <w:left w:val="single" w:sz="8" w:space="0" w:color="auto"/>
              <w:bottom w:val="single" w:sz="8" w:space="0" w:color="auto"/>
              <w:right w:val="single" w:sz="8" w:space="0" w:color="auto"/>
            </w:tcBorders>
          </w:tcPr>
          <w:p w:rsidR="00823726" w:rsidRPr="0092695A" w:rsidRDefault="00823726" w:rsidP="00185F44">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 xml:space="preserve">To reform public administration </w:t>
            </w:r>
            <w:r w:rsidR="000A3549" w:rsidRPr="0092695A">
              <w:rPr>
                <w:rFonts w:ascii="Times New Roman" w:hAnsi="Times New Roman" w:cs="Times New Roman"/>
                <w:bCs/>
                <w:iCs/>
                <w:sz w:val="20"/>
                <w:szCs w:val="20"/>
              </w:rPr>
              <w:t>in line with the P</w:t>
            </w:r>
            <w:r w:rsidRPr="0092695A">
              <w:rPr>
                <w:rFonts w:ascii="Times New Roman" w:hAnsi="Times New Roman" w:cs="Times New Roman"/>
                <w:bCs/>
                <w:iCs/>
                <w:sz w:val="20"/>
                <w:szCs w:val="20"/>
              </w:rPr>
              <w:t xml:space="preserve">rinciples of </w:t>
            </w:r>
            <w:r w:rsidR="000A3549" w:rsidRPr="0092695A">
              <w:rPr>
                <w:rFonts w:ascii="Times New Roman" w:hAnsi="Times New Roman" w:cs="Times New Roman"/>
                <w:bCs/>
                <w:iCs/>
                <w:sz w:val="20"/>
                <w:szCs w:val="20"/>
              </w:rPr>
              <w:t>Public Administration</w:t>
            </w:r>
          </w:p>
          <w:p w:rsidR="00823726" w:rsidRPr="0092695A" w:rsidRDefault="00823726" w:rsidP="00185F44">
            <w:pPr>
              <w:spacing w:before="0" w:after="0"/>
              <w:jc w:val="left"/>
              <w:rPr>
                <w:rFonts w:ascii="Times New Roman" w:hAnsi="Times New Roman" w:cs="Times New Roman"/>
                <w:bCs/>
                <w:iCs/>
                <w:sz w:val="20"/>
                <w:szCs w:val="20"/>
              </w:rPr>
            </w:pPr>
          </w:p>
          <w:p w:rsidR="00823726" w:rsidRPr="0092695A" w:rsidRDefault="00823726" w:rsidP="005C493E">
            <w:pPr>
              <w:spacing w:before="0" w:after="0"/>
              <w:jc w:val="left"/>
              <w:rPr>
                <w:rFonts w:ascii="Times New Roman" w:hAnsi="Times New Roman" w:cs="Times New Roman"/>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823726" w:rsidRDefault="00823726">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Progress made towards meeting accession criteria</w:t>
            </w:r>
          </w:p>
          <w:p w:rsidR="006C6FAC" w:rsidRPr="0092695A" w:rsidRDefault="006C6FAC">
            <w:pPr>
              <w:spacing w:before="0" w:after="0"/>
              <w:jc w:val="left"/>
              <w:rPr>
                <w:rFonts w:ascii="Times New Roman" w:hAnsi="Times New Roman" w:cs="Times New Roman"/>
                <w:bCs/>
                <w:iCs/>
                <w:sz w:val="20"/>
                <w:szCs w:val="20"/>
              </w:rPr>
            </w:pPr>
          </w:p>
        </w:tc>
        <w:tc>
          <w:tcPr>
            <w:tcW w:w="2835" w:type="dxa"/>
            <w:vMerge w:val="restart"/>
            <w:tcBorders>
              <w:top w:val="single" w:sz="8" w:space="0" w:color="auto"/>
              <w:left w:val="single" w:sz="8" w:space="0" w:color="auto"/>
              <w:bottom w:val="single" w:sz="8" w:space="0" w:color="auto"/>
              <w:right w:val="single" w:sz="8" w:space="0" w:color="auto"/>
            </w:tcBorders>
          </w:tcPr>
          <w:p w:rsidR="00823726" w:rsidRPr="0092695A" w:rsidRDefault="00823726">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European Commission</w:t>
            </w:r>
          </w:p>
          <w:p w:rsidR="00823726" w:rsidRPr="0092695A" w:rsidRDefault="00823726">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 xml:space="preserve">SIGMA assessment /baseline measurement report / Monitoring report </w:t>
            </w:r>
          </w:p>
          <w:p w:rsidR="00823726" w:rsidRPr="0092695A" w:rsidRDefault="00823726" w:rsidP="00823726">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WB</w:t>
            </w:r>
            <w:r w:rsidRPr="0092695A">
              <w:rPr>
                <w:rFonts w:ascii="Times New Roman" w:hAnsi="Times New Roman" w:cs="Times New Roman"/>
                <w:bCs/>
                <w:iCs/>
                <w:sz w:val="20"/>
                <w:szCs w:val="20"/>
              </w:rPr>
              <w:br/>
              <w:t>WEF</w:t>
            </w:r>
          </w:p>
        </w:tc>
        <w:tc>
          <w:tcPr>
            <w:tcW w:w="2835" w:type="dxa"/>
            <w:vMerge/>
            <w:tcBorders>
              <w:left w:val="single" w:sz="8" w:space="0" w:color="auto"/>
            </w:tcBorders>
          </w:tcPr>
          <w:p w:rsidR="00823726" w:rsidRPr="0092695A" w:rsidRDefault="00823726">
            <w:pPr>
              <w:spacing w:before="0" w:after="0"/>
              <w:jc w:val="left"/>
              <w:rPr>
                <w:rFonts w:ascii="Times New Roman" w:hAnsi="Times New Roman" w:cs="Times New Roman"/>
                <w:sz w:val="20"/>
                <w:szCs w:val="20"/>
              </w:rPr>
            </w:pPr>
          </w:p>
        </w:tc>
      </w:tr>
      <w:tr w:rsidR="00823726" w:rsidRPr="00FE515C" w:rsidTr="00484A66">
        <w:trPr>
          <w:trHeight w:val="352"/>
        </w:trPr>
        <w:tc>
          <w:tcPr>
            <w:tcW w:w="3119" w:type="dxa"/>
            <w:vMerge/>
            <w:tcBorders>
              <w:top w:val="single" w:sz="8" w:space="0" w:color="auto"/>
              <w:left w:val="single" w:sz="8" w:space="0" w:color="auto"/>
              <w:bottom w:val="single" w:sz="8" w:space="0" w:color="auto"/>
              <w:right w:val="single" w:sz="8" w:space="0" w:color="auto"/>
            </w:tcBorders>
          </w:tcPr>
          <w:p w:rsidR="00823726" w:rsidRPr="0092695A" w:rsidRDefault="00823726">
            <w:pPr>
              <w:spacing w:before="0" w:after="0"/>
              <w:jc w:val="left"/>
              <w:rPr>
                <w:rFonts w:ascii="Times New Roman" w:hAnsi="Times New Roman" w:cs="Times New Roman"/>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823726" w:rsidRPr="0092695A" w:rsidRDefault="00823726">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Composite indicator</w:t>
            </w:r>
          </w:p>
          <w:p w:rsidR="00823726" w:rsidRPr="0092695A" w:rsidRDefault="00823726">
            <w:pPr>
              <w:pStyle w:val="ListParagraph"/>
              <w:numPr>
                <w:ilvl w:val="0"/>
                <w:numId w:val="52"/>
              </w:numPr>
              <w:tabs>
                <w:tab w:val="left" w:pos="240"/>
              </w:tabs>
              <w:spacing w:before="0" w:after="0"/>
              <w:ind w:left="45" w:firstLine="0"/>
              <w:jc w:val="left"/>
              <w:rPr>
                <w:rFonts w:ascii="Times New Roman" w:hAnsi="Times New Roman"/>
                <w:bCs/>
                <w:iCs/>
                <w:szCs w:val="20"/>
              </w:rPr>
            </w:pPr>
            <w:r w:rsidRPr="0092695A">
              <w:rPr>
                <w:rFonts w:ascii="Times New Roman" w:hAnsi="Times New Roman"/>
                <w:bCs/>
                <w:iCs/>
                <w:szCs w:val="20"/>
              </w:rPr>
              <w:t>Government Effectiveness</w:t>
            </w:r>
          </w:p>
          <w:p w:rsidR="00823726" w:rsidRPr="0092695A" w:rsidRDefault="00823726">
            <w:pPr>
              <w:pStyle w:val="ListParagraph"/>
              <w:numPr>
                <w:ilvl w:val="0"/>
                <w:numId w:val="52"/>
              </w:numPr>
              <w:tabs>
                <w:tab w:val="left" w:pos="240"/>
              </w:tabs>
              <w:spacing w:before="0" w:after="0"/>
              <w:ind w:left="45" w:firstLine="0"/>
              <w:jc w:val="left"/>
              <w:rPr>
                <w:rFonts w:ascii="Times New Roman" w:hAnsi="Times New Roman"/>
                <w:bCs/>
                <w:iCs/>
                <w:szCs w:val="20"/>
              </w:rPr>
            </w:pPr>
            <w:r w:rsidRPr="0092695A">
              <w:rPr>
                <w:rFonts w:ascii="Times New Roman" w:hAnsi="Times New Roman"/>
                <w:bCs/>
                <w:iCs/>
                <w:szCs w:val="20"/>
              </w:rPr>
              <w:t>Burden of Government Regulation</w:t>
            </w:r>
          </w:p>
          <w:p w:rsidR="00823726" w:rsidRDefault="00823726">
            <w:pPr>
              <w:pStyle w:val="ListParagraph"/>
              <w:numPr>
                <w:ilvl w:val="0"/>
                <w:numId w:val="28"/>
              </w:numPr>
              <w:tabs>
                <w:tab w:val="left" w:pos="240"/>
              </w:tabs>
              <w:spacing w:before="0" w:after="0"/>
              <w:ind w:left="45" w:firstLine="0"/>
              <w:jc w:val="left"/>
              <w:rPr>
                <w:rFonts w:ascii="Times New Roman" w:hAnsi="Times New Roman"/>
                <w:bCs/>
                <w:iCs/>
                <w:szCs w:val="20"/>
              </w:rPr>
            </w:pPr>
            <w:r w:rsidRPr="0092695A">
              <w:rPr>
                <w:rFonts w:ascii="Times New Roman" w:hAnsi="Times New Roman"/>
                <w:bCs/>
                <w:iCs/>
                <w:szCs w:val="20"/>
              </w:rPr>
              <w:t>Regulatory Quality</w:t>
            </w:r>
          </w:p>
          <w:p w:rsidR="006C6FAC" w:rsidRPr="0092695A" w:rsidRDefault="006C6FAC" w:rsidP="00AA6FDF">
            <w:pPr>
              <w:pStyle w:val="ListParagraph"/>
              <w:tabs>
                <w:tab w:val="left" w:pos="240"/>
              </w:tabs>
              <w:spacing w:before="0" w:after="0"/>
              <w:ind w:left="45"/>
              <w:jc w:val="left"/>
              <w:rPr>
                <w:rFonts w:ascii="Times New Roman" w:hAnsi="Times New Roman"/>
                <w:bCs/>
                <w:iCs/>
                <w:szCs w:val="20"/>
              </w:rPr>
            </w:pPr>
          </w:p>
        </w:tc>
        <w:tc>
          <w:tcPr>
            <w:tcW w:w="2835" w:type="dxa"/>
            <w:vMerge/>
            <w:tcBorders>
              <w:top w:val="single" w:sz="8" w:space="0" w:color="auto"/>
              <w:left w:val="single" w:sz="8" w:space="0" w:color="auto"/>
              <w:bottom w:val="single" w:sz="8" w:space="0" w:color="auto"/>
              <w:right w:val="single" w:sz="8" w:space="0" w:color="auto"/>
            </w:tcBorders>
          </w:tcPr>
          <w:p w:rsidR="00823726" w:rsidRPr="0092695A" w:rsidRDefault="00823726" w:rsidP="00823726">
            <w:pPr>
              <w:spacing w:before="0" w:after="0"/>
              <w:jc w:val="left"/>
              <w:rPr>
                <w:rFonts w:ascii="Times New Roman" w:hAnsi="Times New Roman" w:cs="Times New Roman"/>
                <w:bCs/>
                <w:iCs/>
                <w:sz w:val="20"/>
                <w:szCs w:val="20"/>
              </w:rPr>
            </w:pPr>
          </w:p>
        </w:tc>
        <w:tc>
          <w:tcPr>
            <w:tcW w:w="2835" w:type="dxa"/>
            <w:vMerge/>
            <w:tcBorders>
              <w:left w:val="single" w:sz="8" w:space="0" w:color="auto"/>
              <w:bottom w:val="single" w:sz="8" w:space="0" w:color="auto"/>
            </w:tcBorders>
          </w:tcPr>
          <w:p w:rsidR="00823726" w:rsidRPr="0092695A" w:rsidRDefault="00823726">
            <w:pPr>
              <w:spacing w:before="0" w:after="0"/>
              <w:jc w:val="left"/>
              <w:rPr>
                <w:rFonts w:ascii="Times New Roman" w:hAnsi="Times New Roman" w:cs="Times New Roman"/>
                <w:sz w:val="20"/>
                <w:szCs w:val="20"/>
              </w:rPr>
            </w:pPr>
          </w:p>
        </w:tc>
      </w:tr>
      <w:tr w:rsidR="00252DA0" w:rsidRPr="00FE515C" w:rsidTr="00484A66">
        <w:trPr>
          <w:trHeight w:val="189"/>
        </w:trPr>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 xml:space="preserve">SPECIFIC OBJECTIVE </w:t>
            </w:r>
          </w:p>
        </w:tc>
        <w:tc>
          <w:tcPr>
            <w:tcW w:w="6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OBJECTIVELY VERIFIABLE INDICATORS</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SOURCES OF VERIFICATION</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numPr>
                <w:ilvl w:val="12"/>
                <w:numId w:val="0"/>
              </w:numPr>
              <w:spacing w:before="0" w:after="0"/>
              <w:jc w:val="left"/>
              <w:rPr>
                <w:rFonts w:ascii="Times New Roman" w:hAnsi="Times New Roman" w:cs="Times New Roman"/>
                <w:b/>
                <w:sz w:val="20"/>
                <w:szCs w:val="20"/>
              </w:rPr>
            </w:pPr>
            <w:r w:rsidRPr="0092695A">
              <w:rPr>
                <w:rFonts w:ascii="Times New Roman" w:hAnsi="Times New Roman" w:cs="Times New Roman"/>
                <w:b/>
                <w:sz w:val="20"/>
                <w:szCs w:val="20"/>
              </w:rPr>
              <w:t>ASSUMPTIONS</w:t>
            </w:r>
          </w:p>
        </w:tc>
      </w:tr>
      <w:tr w:rsidR="000F59C8" w:rsidRPr="00FE515C" w:rsidTr="00484A66">
        <w:trPr>
          <w:trHeight w:val="55"/>
        </w:trPr>
        <w:tc>
          <w:tcPr>
            <w:tcW w:w="3119" w:type="dxa"/>
            <w:vMerge w:val="restart"/>
            <w:tcBorders>
              <w:top w:val="single" w:sz="8" w:space="0" w:color="auto"/>
              <w:left w:val="single" w:sz="8" w:space="0" w:color="auto"/>
              <w:bottom w:val="single" w:sz="8" w:space="0" w:color="auto"/>
              <w:right w:val="single" w:sz="8" w:space="0" w:color="auto"/>
            </w:tcBorders>
          </w:tcPr>
          <w:p w:rsidR="000F59C8" w:rsidRPr="0092695A" w:rsidRDefault="000F59C8" w:rsidP="002851C7">
            <w:pPr>
              <w:autoSpaceDE w:val="0"/>
              <w:autoSpaceDN w:val="0"/>
              <w:adjustRightInd w:val="0"/>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1. To optimise overall institutional framework, enhance public service delivery and strengthen ethics</w:t>
            </w:r>
            <w:r w:rsidRPr="0092695A">
              <w:rPr>
                <w:rFonts w:ascii="Times New Roman" w:eastAsia="Times New Roman" w:hAnsi="Times New Roman" w:cs="Times New Roman"/>
                <w:iCs/>
                <w:sz w:val="20"/>
                <w:szCs w:val="20"/>
                <w:lang w:eastAsia="en-GB"/>
              </w:rPr>
              <w:t>, integrity, transparency</w:t>
            </w:r>
            <w:r w:rsidR="002851C7" w:rsidRPr="0092695A">
              <w:rPr>
                <w:rFonts w:ascii="Times New Roman" w:eastAsia="Times New Roman" w:hAnsi="Times New Roman" w:cs="Times New Roman"/>
                <w:iCs/>
                <w:sz w:val="20"/>
                <w:szCs w:val="20"/>
                <w:lang w:eastAsia="en-GB"/>
              </w:rPr>
              <w:t xml:space="preserve"> and </w:t>
            </w:r>
            <w:r w:rsidRPr="0092695A">
              <w:rPr>
                <w:rFonts w:ascii="Times New Roman" w:eastAsia="Times New Roman" w:hAnsi="Times New Roman" w:cs="Times New Roman"/>
                <w:iCs/>
                <w:sz w:val="20"/>
                <w:szCs w:val="20"/>
                <w:lang w:eastAsia="en-GB"/>
              </w:rPr>
              <w:t>accountability of public administration</w:t>
            </w:r>
            <w:r w:rsidR="0068730F" w:rsidRPr="0092695A">
              <w:rPr>
                <w:rFonts w:ascii="Times New Roman" w:eastAsia="Times New Roman" w:hAnsi="Times New Roman" w:cs="Times New Roman"/>
                <w:iCs/>
                <w:sz w:val="20"/>
                <w:szCs w:val="20"/>
                <w:lang w:eastAsia="en-GB"/>
              </w:rPr>
              <w:t>.</w:t>
            </w:r>
          </w:p>
        </w:tc>
        <w:tc>
          <w:tcPr>
            <w:tcW w:w="6095" w:type="dxa"/>
            <w:tcBorders>
              <w:top w:val="single" w:sz="8" w:space="0" w:color="auto"/>
              <w:left w:val="single" w:sz="8" w:space="0" w:color="auto"/>
              <w:bottom w:val="single" w:sz="8" w:space="0" w:color="auto"/>
              <w:right w:val="single" w:sz="8" w:space="0" w:color="auto"/>
            </w:tcBorders>
          </w:tcPr>
          <w:p w:rsidR="000F59C8" w:rsidRPr="0092695A" w:rsidRDefault="00614A29" w:rsidP="00A606B5">
            <w:pPr>
              <w:pStyle w:val="ListParagraph"/>
              <w:numPr>
                <w:ilvl w:val="0"/>
                <w:numId w:val="28"/>
              </w:numPr>
              <w:tabs>
                <w:tab w:val="left" w:pos="240"/>
              </w:tabs>
              <w:spacing w:before="0" w:after="0"/>
              <w:ind w:left="45" w:firstLine="0"/>
              <w:jc w:val="left"/>
              <w:rPr>
                <w:rFonts w:ascii="Times New Roman" w:hAnsi="Times New Roman"/>
                <w:bCs/>
                <w:iCs/>
                <w:szCs w:val="20"/>
              </w:rPr>
            </w:pPr>
            <w:r w:rsidRPr="0092695A">
              <w:rPr>
                <w:rFonts w:ascii="Times New Roman" w:hAnsi="Times New Roman"/>
                <w:bCs/>
                <w:iCs/>
                <w:szCs w:val="20"/>
              </w:rPr>
              <w:t>Percentage of indicators inc</w:t>
            </w:r>
            <w:r w:rsidR="00C1546A">
              <w:rPr>
                <w:rFonts w:ascii="Times New Roman" w:hAnsi="Times New Roman"/>
                <w:bCs/>
                <w:iCs/>
                <w:szCs w:val="20"/>
              </w:rPr>
              <w:t>l</w:t>
            </w:r>
            <w:r w:rsidRPr="0092695A">
              <w:rPr>
                <w:rFonts w:ascii="Times New Roman" w:hAnsi="Times New Roman"/>
                <w:bCs/>
                <w:iCs/>
                <w:szCs w:val="20"/>
              </w:rPr>
              <w:t xml:space="preserve">uded in the SIGMA baseline measurement report being improved  </w:t>
            </w:r>
          </w:p>
        </w:tc>
        <w:tc>
          <w:tcPr>
            <w:tcW w:w="2835" w:type="dxa"/>
            <w:tcBorders>
              <w:top w:val="single" w:sz="8" w:space="0" w:color="auto"/>
              <w:left w:val="single" w:sz="8" w:space="0" w:color="auto"/>
              <w:bottom w:val="single" w:sz="8" w:space="0" w:color="auto"/>
              <w:right w:val="single" w:sz="8" w:space="0" w:color="auto"/>
            </w:tcBorders>
          </w:tcPr>
          <w:p w:rsidR="000F59C8" w:rsidRPr="0092695A" w:rsidRDefault="000F59C8" w:rsidP="00AA6FDF">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bCs/>
                <w:iCs/>
                <w:sz w:val="20"/>
                <w:szCs w:val="20"/>
              </w:rPr>
              <w:t>SIGMA assessment report</w:t>
            </w:r>
            <w:r w:rsidR="00AA6FDF">
              <w:rPr>
                <w:rFonts w:ascii="Times New Roman" w:hAnsi="Times New Roman" w:cs="Times New Roman"/>
                <w:bCs/>
                <w:iCs/>
                <w:sz w:val="20"/>
                <w:szCs w:val="20"/>
              </w:rPr>
              <w:t>s</w:t>
            </w:r>
          </w:p>
        </w:tc>
        <w:tc>
          <w:tcPr>
            <w:tcW w:w="2835" w:type="dxa"/>
            <w:vMerge w:val="restart"/>
            <w:tcBorders>
              <w:top w:val="single" w:sz="8" w:space="0" w:color="auto"/>
              <w:left w:val="single" w:sz="8" w:space="0" w:color="auto"/>
              <w:bottom w:val="single" w:sz="8" w:space="0" w:color="auto"/>
              <w:right w:val="single" w:sz="8" w:space="0" w:color="auto"/>
            </w:tcBorders>
          </w:tcPr>
          <w:p w:rsidR="000F59C8" w:rsidRPr="0092695A" w:rsidRDefault="000F59C8" w:rsidP="00FF4B88">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The Government further supports the reform of the regulatory and institutional framework in line with EU standards and policies</w:t>
            </w:r>
          </w:p>
          <w:p w:rsidR="005C6408" w:rsidRPr="0092695A" w:rsidRDefault="005C6408" w:rsidP="00FF4B88">
            <w:pPr>
              <w:numPr>
                <w:ilvl w:val="12"/>
                <w:numId w:val="0"/>
              </w:numPr>
              <w:spacing w:before="0" w:after="0"/>
              <w:jc w:val="left"/>
              <w:rPr>
                <w:rFonts w:ascii="Times New Roman" w:hAnsi="Times New Roman" w:cs="Times New Roman"/>
                <w:sz w:val="20"/>
                <w:szCs w:val="20"/>
              </w:rPr>
            </w:pPr>
          </w:p>
          <w:p w:rsidR="005C6408" w:rsidRPr="0092695A" w:rsidRDefault="005C6408" w:rsidP="00FF4B88">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The country implements the newly adopted PAR Strategy according to the adopted action plans.</w:t>
            </w:r>
          </w:p>
        </w:tc>
      </w:tr>
      <w:tr w:rsidR="000F59C8" w:rsidRPr="00FE515C" w:rsidTr="00484A66">
        <w:trPr>
          <w:trHeight w:val="457"/>
        </w:trPr>
        <w:tc>
          <w:tcPr>
            <w:tcW w:w="3119" w:type="dxa"/>
            <w:vMerge/>
            <w:tcBorders>
              <w:top w:val="single" w:sz="8" w:space="0" w:color="auto"/>
              <w:left w:val="single" w:sz="8" w:space="0" w:color="auto"/>
              <w:bottom w:val="single" w:sz="8" w:space="0" w:color="auto"/>
              <w:right w:val="single" w:sz="8" w:space="0" w:color="auto"/>
            </w:tcBorders>
          </w:tcPr>
          <w:p w:rsidR="000F59C8" w:rsidRPr="0092695A" w:rsidRDefault="000F59C8" w:rsidP="005C493E">
            <w:pPr>
              <w:autoSpaceDE w:val="0"/>
              <w:autoSpaceDN w:val="0"/>
              <w:adjustRightInd w:val="0"/>
              <w:spacing w:before="0" w:after="0"/>
              <w:jc w:val="left"/>
              <w:rPr>
                <w:rFonts w:ascii="Times New Roman" w:hAnsi="Times New Roman" w:cs="Times New Roman"/>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0F59C8" w:rsidRPr="0092695A" w:rsidRDefault="000F59C8" w:rsidP="00823726">
            <w:pPr>
              <w:pStyle w:val="ListParagraph"/>
              <w:numPr>
                <w:ilvl w:val="0"/>
                <w:numId w:val="28"/>
              </w:numPr>
              <w:tabs>
                <w:tab w:val="left" w:pos="240"/>
              </w:tabs>
              <w:spacing w:before="0" w:after="0"/>
              <w:ind w:left="45" w:firstLine="0"/>
              <w:jc w:val="left"/>
              <w:rPr>
                <w:rFonts w:ascii="Times New Roman" w:hAnsi="Times New Roman"/>
                <w:bCs/>
                <w:iCs/>
                <w:szCs w:val="20"/>
              </w:rPr>
            </w:pPr>
            <w:r w:rsidRPr="0092695A">
              <w:rPr>
                <w:rFonts w:ascii="Times New Roman" w:hAnsi="Times New Roman"/>
                <w:bCs/>
                <w:iCs/>
                <w:szCs w:val="20"/>
              </w:rPr>
              <w:t xml:space="preserve">Percentage of user satisfaction with the administrative services and servants </w:t>
            </w:r>
          </w:p>
        </w:tc>
        <w:tc>
          <w:tcPr>
            <w:tcW w:w="2835" w:type="dxa"/>
            <w:tcBorders>
              <w:top w:val="single" w:sz="8" w:space="0" w:color="auto"/>
              <w:left w:val="single" w:sz="8" w:space="0" w:color="auto"/>
              <w:bottom w:val="single" w:sz="8" w:space="0" w:color="auto"/>
              <w:right w:val="single" w:sz="8" w:space="0" w:color="auto"/>
            </w:tcBorders>
          </w:tcPr>
          <w:p w:rsidR="000B274E" w:rsidRPr="0092695A" w:rsidRDefault="000F59C8" w:rsidP="00017BA1">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Annual Report of MISA</w:t>
            </w:r>
          </w:p>
          <w:p w:rsidR="000F59C8" w:rsidRPr="0092695A" w:rsidRDefault="000B274E" w:rsidP="00AA6FDF">
            <w:pPr>
              <w:numPr>
                <w:ilvl w:val="12"/>
                <w:numId w:val="0"/>
              </w:numPr>
              <w:spacing w:before="0" w:after="0"/>
              <w:jc w:val="left"/>
              <w:rPr>
                <w:rFonts w:ascii="Times New Roman" w:hAnsi="Times New Roman" w:cs="Times New Roman"/>
                <w:sz w:val="20"/>
                <w:szCs w:val="20"/>
                <w:lang w:val="en-US"/>
              </w:rPr>
            </w:pPr>
            <w:r w:rsidRPr="0092695A">
              <w:rPr>
                <w:rFonts w:ascii="Times New Roman" w:hAnsi="Times New Roman" w:cs="Times New Roman"/>
                <w:sz w:val="20"/>
                <w:szCs w:val="20"/>
                <w:lang w:val="en-US"/>
              </w:rPr>
              <w:t>SIGMA assessment report</w:t>
            </w:r>
            <w:r w:rsidR="00AA6FDF">
              <w:rPr>
                <w:rFonts w:ascii="Times New Roman" w:hAnsi="Times New Roman" w:cs="Times New Roman"/>
                <w:sz w:val="20"/>
                <w:szCs w:val="20"/>
                <w:lang w:val="en-US"/>
              </w:rPr>
              <w:t>s</w:t>
            </w:r>
          </w:p>
        </w:tc>
        <w:tc>
          <w:tcPr>
            <w:tcW w:w="2835" w:type="dxa"/>
            <w:vMerge/>
            <w:tcBorders>
              <w:top w:val="single" w:sz="8" w:space="0" w:color="auto"/>
              <w:left w:val="single" w:sz="8" w:space="0" w:color="auto"/>
              <w:bottom w:val="single" w:sz="8" w:space="0" w:color="auto"/>
              <w:right w:val="single" w:sz="8" w:space="0" w:color="auto"/>
            </w:tcBorders>
          </w:tcPr>
          <w:p w:rsidR="000F59C8" w:rsidRPr="0092695A" w:rsidRDefault="000F59C8">
            <w:pPr>
              <w:numPr>
                <w:ilvl w:val="12"/>
                <w:numId w:val="0"/>
              </w:numPr>
              <w:spacing w:before="0" w:after="0"/>
              <w:jc w:val="left"/>
              <w:rPr>
                <w:rFonts w:ascii="Times New Roman" w:hAnsi="Times New Roman" w:cs="Times New Roman"/>
                <w:sz w:val="20"/>
                <w:szCs w:val="20"/>
              </w:rPr>
            </w:pPr>
          </w:p>
        </w:tc>
      </w:tr>
      <w:tr w:rsidR="000F59C8" w:rsidRPr="00FE515C" w:rsidTr="00484A66">
        <w:trPr>
          <w:trHeight w:val="329"/>
        </w:trPr>
        <w:tc>
          <w:tcPr>
            <w:tcW w:w="3119" w:type="dxa"/>
            <w:vMerge/>
            <w:tcBorders>
              <w:top w:val="single" w:sz="8" w:space="0" w:color="auto"/>
              <w:left w:val="single" w:sz="8" w:space="0" w:color="auto"/>
              <w:bottom w:val="single" w:sz="8" w:space="0" w:color="auto"/>
              <w:right w:val="single" w:sz="8" w:space="0" w:color="auto"/>
            </w:tcBorders>
          </w:tcPr>
          <w:p w:rsidR="000F59C8" w:rsidRPr="0092695A" w:rsidRDefault="000F59C8">
            <w:pPr>
              <w:spacing w:before="0" w:after="0"/>
              <w:ind w:left="2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0F59C8" w:rsidRPr="0092695A" w:rsidRDefault="000F59C8">
            <w:pPr>
              <w:pStyle w:val="ListParagraph"/>
              <w:numPr>
                <w:ilvl w:val="0"/>
                <w:numId w:val="28"/>
              </w:numPr>
              <w:tabs>
                <w:tab w:val="left" w:pos="240"/>
              </w:tabs>
              <w:spacing w:before="0" w:after="0"/>
              <w:ind w:left="45" w:firstLine="0"/>
              <w:jc w:val="left"/>
              <w:rPr>
                <w:rFonts w:ascii="Times New Roman" w:hAnsi="Times New Roman"/>
                <w:bCs/>
                <w:iCs/>
                <w:szCs w:val="20"/>
              </w:rPr>
            </w:pPr>
            <w:r w:rsidRPr="0092695A">
              <w:rPr>
                <w:rFonts w:ascii="Times New Roman" w:hAnsi="Times New Roman"/>
                <w:bCs/>
                <w:iCs/>
                <w:szCs w:val="20"/>
              </w:rPr>
              <w:t xml:space="preserve">Corruption </w:t>
            </w:r>
            <w:r w:rsidR="000C15CD" w:rsidRPr="0092695A">
              <w:rPr>
                <w:rFonts w:ascii="Times New Roman" w:hAnsi="Times New Roman"/>
                <w:bCs/>
                <w:iCs/>
                <w:szCs w:val="20"/>
              </w:rPr>
              <w:t>Perception Index (Score And Positive Trend) and Global Corruption Barometer</w:t>
            </w:r>
          </w:p>
        </w:tc>
        <w:tc>
          <w:tcPr>
            <w:tcW w:w="2835" w:type="dxa"/>
            <w:tcBorders>
              <w:top w:val="single" w:sz="8" w:space="0" w:color="auto"/>
              <w:left w:val="single" w:sz="8" w:space="0" w:color="auto"/>
              <w:bottom w:val="single" w:sz="8" w:space="0" w:color="auto"/>
              <w:right w:val="single" w:sz="8" w:space="0" w:color="auto"/>
            </w:tcBorders>
          </w:tcPr>
          <w:p w:rsidR="000F59C8" w:rsidRPr="0092695A" w:rsidRDefault="000F59C8" w:rsidP="000C15CD">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Transparency International </w:t>
            </w:r>
          </w:p>
        </w:tc>
        <w:tc>
          <w:tcPr>
            <w:tcW w:w="2835" w:type="dxa"/>
            <w:vMerge/>
            <w:tcBorders>
              <w:top w:val="single" w:sz="8" w:space="0" w:color="auto"/>
              <w:left w:val="single" w:sz="8" w:space="0" w:color="auto"/>
              <w:bottom w:val="single" w:sz="8" w:space="0" w:color="auto"/>
              <w:right w:val="single" w:sz="8" w:space="0" w:color="auto"/>
            </w:tcBorders>
          </w:tcPr>
          <w:p w:rsidR="000F59C8" w:rsidRPr="0092695A" w:rsidRDefault="000F59C8">
            <w:pPr>
              <w:numPr>
                <w:ilvl w:val="12"/>
                <w:numId w:val="0"/>
              </w:numPr>
              <w:spacing w:before="0" w:after="0"/>
              <w:jc w:val="left"/>
              <w:rPr>
                <w:rFonts w:ascii="Times New Roman" w:hAnsi="Times New Roman" w:cs="Times New Roman"/>
                <w:sz w:val="20"/>
                <w:szCs w:val="20"/>
              </w:rPr>
            </w:pPr>
          </w:p>
        </w:tc>
      </w:tr>
      <w:tr w:rsidR="000F59C8" w:rsidRPr="00FE515C" w:rsidTr="00484A66">
        <w:trPr>
          <w:trHeight w:val="51"/>
        </w:trPr>
        <w:tc>
          <w:tcPr>
            <w:tcW w:w="3119" w:type="dxa"/>
            <w:tcBorders>
              <w:top w:val="single" w:sz="8" w:space="0" w:color="auto"/>
              <w:left w:val="single" w:sz="8" w:space="0" w:color="auto"/>
              <w:bottom w:val="single" w:sz="8" w:space="0" w:color="auto"/>
              <w:right w:val="single" w:sz="8" w:space="0" w:color="auto"/>
            </w:tcBorders>
          </w:tcPr>
          <w:p w:rsidR="000F59C8" w:rsidRPr="0092695A" w:rsidRDefault="000F59C8" w:rsidP="005C493E">
            <w:pPr>
              <w:spacing w:before="0" w:after="0"/>
              <w:jc w:val="left"/>
              <w:rPr>
                <w:rFonts w:ascii="Times New Roman" w:hAnsi="Times New Roman" w:cs="Times New Roman"/>
                <w:bCs/>
                <w:iCs/>
                <w:sz w:val="20"/>
                <w:szCs w:val="20"/>
              </w:rPr>
            </w:pPr>
            <w:r w:rsidRPr="0092695A">
              <w:rPr>
                <w:rFonts w:ascii="Times New Roman" w:hAnsi="Times New Roman" w:cs="Times New Roman"/>
                <w:b/>
                <w:bCs/>
                <w:iCs/>
                <w:sz w:val="20"/>
                <w:szCs w:val="20"/>
              </w:rPr>
              <w:t>2.</w:t>
            </w:r>
            <w:r w:rsidRPr="0092695A">
              <w:rPr>
                <w:rFonts w:ascii="Times New Roman" w:hAnsi="Times New Roman" w:cs="Times New Roman"/>
                <w:bCs/>
                <w:iCs/>
                <w:sz w:val="20"/>
                <w:szCs w:val="20"/>
              </w:rPr>
              <w:t xml:space="preserve"> To improve the quality and availability of statistical data and enhance </w:t>
            </w:r>
            <w:r w:rsidR="00110FC4" w:rsidRPr="0092695A">
              <w:rPr>
                <w:rFonts w:ascii="Times New Roman" w:hAnsi="Times New Roman" w:cs="Times New Roman"/>
                <w:bCs/>
                <w:iCs/>
                <w:sz w:val="20"/>
                <w:szCs w:val="20"/>
              </w:rPr>
              <w:t xml:space="preserve">their use in </w:t>
            </w:r>
            <w:r w:rsidRPr="0092695A">
              <w:rPr>
                <w:rFonts w:ascii="Times New Roman" w:hAnsi="Times New Roman" w:cs="Times New Roman"/>
                <w:bCs/>
                <w:iCs/>
                <w:sz w:val="20"/>
                <w:szCs w:val="20"/>
              </w:rPr>
              <w:t>development and coordination of public policies</w:t>
            </w:r>
            <w:r w:rsidR="0068730F" w:rsidRPr="0092695A">
              <w:rPr>
                <w:rFonts w:ascii="Times New Roman" w:hAnsi="Times New Roman" w:cs="Times New Roman"/>
                <w:bCs/>
                <w:iCs/>
                <w:sz w:val="20"/>
                <w:szCs w:val="20"/>
              </w:rPr>
              <w:t>.</w:t>
            </w:r>
          </w:p>
        </w:tc>
        <w:tc>
          <w:tcPr>
            <w:tcW w:w="6095" w:type="dxa"/>
            <w:tcBorders>
              <w:top w:val="single" w:sz="8" w:space="0" w:color="auto"/>
              <w:left w:val="single" w:sz="8" w:space="0" w:color="auto"/>
              <w:bottom w:val="single" w:sz="8" w:space="0" w:color="auto"/>
              <w:right w:val="single" w:sz="8" w:space="0" w:color="auto"/>
            </w:tcBorders>
          </w:tcPr>
          <w:p w:rsidR="0060557A" w:rsidRPr="0060557A" w:rsidRDefault="000F59C8" w:rsidP="00710AA1">
            <w:pPr>
              <w:pStyle w:val="ListParagraph"/>
              <w:numPr>
                <w:ilvl w:val="0"/>
                <w:numId w:val="86"/>
              </w:numPr>
              <w:tabs>
                <w:tab w:val="left" w:pos="214"/>
              </w:tabs>
              <w:spacing w:before="60" w:after="0"/>
              <w:ind w:left="214" w:hanging="214"/>
              <w:jc w:val="left"/>
              <w:rPr>
                <w:rFonts w:ascii="Times New Roman" w:hAnsi="Times New Roman"/>
                <w:szCs w:val="20"/>
              </w:rPr>
            </w:pPr>
            <w:r w:rsidRPr="0060557A">
              <w:rPr>
                <w:rFonts w:ascii="Times New Roman" w:hAnsi="Times New Roman"/>
                <w:bCs/>
                <w:iCs/>
                <w:szCs w:val="20"/>
              </w:rPr>
              <w:t xml:space="preserve">Percentage of statistics aligned with EU </w:t>
            </w:r>
            <w:r w:rsidR="0068730F" w:rsidRPr="0060557A">
              <w:rPr>
                <w:rFonts w:ascii="Times New Roman" w:hAnsi="Times New Roman"/>
                <w:bCs/>
                <w:i/>
                <w:iCs/>
                <w:szCs w:val="20"/>
              </w:rPr>
              <w:t>a</w:t>
            </w:r>
            <w:r w:rsidRPr="0060557A">
              <w:rPr>
                <w:rFonts w:ascii="Times New Roman" w:hAnsi="Times New Roman"/>
                <w:bCs/>
                <w:i/>
                <w:iCs/>
                <w:szCs w:val="20"/>
              </w:rPr>
              <w:t>cquis</w:t>
            </w:r>
            <w:r w:rsidRPr="0060557A">
              <w:rPr>
                <w:rFonts w:ascii="Times New Roman" w:hAnsi="Times New Roman"/>
                <w:bCs/>
                <w:iCs/>
                <w:szCs w:val="20"/>
              </w:rPr>
              <w:t xml:space="preserve"> (Social, Business and National Accounts)</w:t>
            </w:r>
            <w:r w:rsidR="0045044B" w:rsidRPr="0060557A">
              <w:rPr>
                <w:rFonts w:ascii="Times New Roman" w:hAnsi="Times New Roman"/>
                <w:bCs/>
                <w:iCs/>
                <w:szCs w:val="20"/>
              </w:rPr>
              <w:t>/</w:t>
            </w:r>
            <w:r w:rsidR="0060557A" w:rsidRPr="0060557A">
              <w:rPr>
                <w:rFonts w:ascii="Times New Roman" w:eastAsia="Calibri" w:hAnsi="Times New Roman"/>
                <w:iCs/>
                <w:szCs w:val="20"/>
              </w:rPr>
              <w:t xml:space="preserve">Compliance level calculated with the method of Eurostat's strategy for statistical cooperation under IPA II increased to 85% based on the </w:t>
            </w:r>
            <w:r w:rsidR="0060557A" w:rsidRPr="0060557A">
              <w:rPr>
                <w:rFonts w:ascii="Times New Roman" w:hAnsi="Times New Roman"/>
                <w:szCs w:val="20"/>
              </w:rPr>
              <w:t xml:space="preserve">currently existing EU </w:t>
            </w:r>
            <w:r w:rsidR="0060557A" w:rsidRPr="0060557A">
              <w:rPr>
                <w:rFonts w:ascii="Times New Roman" w:hAnsi="Times New Roman"/>
                <w:i/>
                <w:iCs/>
                <w:szCs w:val="20"/>
              </w:rPr>
              <w:t>acquis</w:t>
            </w:r>
            <w:r w:rsidR="0060557A" w:rsidRPr="0060557A">
              <w:rPr>
                <w:rFonts w:ascii="Times New Roman" w:eastAsia="Calibri" w:hAnsi="Times New Roman"/>
                <w:iCs/>
                <w:szCs w:val="20"/>
              </w:rPr>
              <w:t xml:space="preserve"> in statistics;</w:t>
            </w:r>
          </w:p>
          <w:p w:rsidR="00AA6FDF" w:rsidRPr="00484A66" w:rsidRDefault="0060557A" w:rsidP="00710AA1">
            <w:pPr>
              <w:numPr>
                <w:ilvl w:val="0"/>
                <w:numId w:val="28"/>
              </w:numPr>
              <w:tabs>
                <w:tab w:val="left" w:pos="214"/>
              </w:tabs>
              <w:autoSpaceDE w:val="0"/>
              <w:autoSpaceDN w:val="0"/>
              <w:adjustRightInd w:val="0"/>
              <w:spacing w:before="60" w:after="0"/>
              <w:ind w:left="214" w:hanging="214"/>
              <w:jc w:val="left"/>
              <w:rPr>
                <w:rFonts w:ascii="Times New Roman" w:hAnsi="Times New Roman" w:cs="Times New Roman"/>
                <w:sz w:val="20"/>
                <w:szCs w:val="20"/>
              </w:rPr>
            </w:pPr>
            <w:r w:rsidRPr="0060557A">
              <w:rPr>
                <w:rFonts w:ascii="Times New Roman" w:eastAsia="Calibri" w:hAnsi="Times New Roman" w:cs="Times New Roman"/>
                <w:iCs/>
                <w:sz w:val="20"/>
                <w:szCs w:val="20"/>
              </w:rPr>
              <w:t>Availability of statistical infrastructure for rational and efficient statistical production (business register, population register and other registers linked to each other in an interoperable way);</w:t>
            </w:r>
          </w:p>
          <w:p w:rsidR="000F59C8" w:rsidRPr="00AA6FDF" w:rsidRDefault="00AA6FDF" w:rsidP="00484A66">
            <w:pPr>
              <w:numPr>
                <w:ilvl w:val="0"/>
                <w:numId w:val="28"/>
              </w:numPr>
              <w:tabs>
                <w:tab w:val="left" w:pos="214"/>
              </w:tabs>
              <w:autoSpaceDE w:val="0"/>
              <w:autoSpaceDN w:val="0"/>
              <w:adjustRightInd w:val="0"/>
              <w:spacing w:before="60" w:after="0"/>
              <w:ind w:left="214" w:hanging="214"/>
              <w:jc w:val="left"/>
              <w:rPr>
                <w:rFonts w:ascii="Times New Roman" w:hAnsi="Times New Roman" w:cs="Times New Roman"/>
                <w:sz w:val="20"/>
                <w:szCs w:val="20"/>
              </w:rPr>
            </w:pPr>
            <w:r w:rsidRPr="00AA6FDF">
              <w:rPr>
                <w:rFonts w:ascii="Times New Roman" w:hAnsi="Times New Roman" w:cs="Times New Roman"/>
                <w:sz w:val="20"/>
                <w:szCs w:val="20"/>
              </w:rPr>
              <w:t>Availability of IT infrastructure for efficient statistical production (Integrated data collection system, IT system for classification management,  Metadata driven IT system for editing, imputation, validation, aggregation and analysis)</w:t>
            </w:r>
          </w:p>
          <w:p w:rsidR="00472FC2" w:rsidRPr="00710AA1" w:rsidRDefault="0091670A" w:rsidP="00710AA1">
            <w:pPr>
              <w:pStyle w:val="ListParagraph"/>
              <w:numPr>
                <w:ilvl w:val="0"/>
                <w:numId w:val="28"/>
              </w:numPr>
              <w:tabs>
                <w:tab w:val="left" w:pos="214"/>
              </w:tabs>
              <w:spacing w:before="60" w:after="0"/>
              <w:ind w:left="214" w:hanging="214"/>
              <w:jc w:val="left"/>
              <w:rPr>
                <w:rFonts w:ascii="Times New Roman" w:hAnsi="Times New Roman"/>
                <w:szCs w:val="20"/>
              </w:rPr>
            </w:pPr>
            <w:r w:rsidRPr="00BA7105">
              <w:rPr>
                <w:rFonts w:ascii="Times New Roman" w:hAnsi="Times New Roman"/>
                <w:bCs/>
                <w:iCs/>
                <w:szCs w:val="20"/>
              </w:rPr>
              <w:t>Use of harmonised statistics in state planning (Indicators dashboard /Number of indicators</w:t>
            </w:r>
            <w:r>
              <w:rPr>
                <w:rFonts w:ascii="Times New Roman" w:hAnsi="Times New Roman"/>
                <w:bCs/>
                <w:iCs/>
                <w:szCs w:val="20"/>
              </w:rPr>
              <w:t>/harmonised sta</w:t>
            </w:r>
            <w:r w:rsidR="00AA6FDF">
              <w:rPr>
                <w:rFonts w:ascii="Times New Roman" w:hAnsi="Times New Roman"/>
                <w:bCs/>
                <w:iCs/>
                <w:szCs w:val="20"/>
              </w:rPr>
              <w:t>t</w:t>
            </w:r>
            <w:r>
              <w:rPr>
                <w:rFonts w:ascii="Times New Roman" w:hAnsi="Times New Roman"/>
                <w:bCs/>
                <w:iCs/>
                <w:szCs w:val="20"/>
              </w:rPr>
              <w:t>istics</w:t>
            </w:r>
            <w:r w:rsidRPr="00BA7105">
              <w:rPr>
                <w:rFonts w:ascii="Times New Roman" w:hAnsi="Times New Roman"/>
                <w:bCs/>
                <w:iCs/>
                <w:szCs w:val="20"/>
              </w:rPr>
              <w:t xml:space="preserve"> used in strategic planning, monitoring and reporting</w:t>
            </w:r>
            <w:r>
              <w:rPr>
                <w:rFonts w:ascii="Times New Roman" w:hAnsi="Times New Roman"/>
                <w:bCs/>
                <w:iCs/>
                <w:szCs w:val="20"/>
              </w:rPr>
              <w:t xml:space="preserve"> on key documents i.e. E</w:t>
            </w:r>
            <w:r w:rsidR="00FB0112">
              <w:rPr>
                <w:rFonts w:ascii="Times New Roman" w:hAnsi="Times New Roman"/>
                <w:bCs/>
                <w:iCs/>
                <w:szCs w:val="20"/>
              </w:rPr>
              <w:t xml:space="preserve">conomic </w:t>
            </w:r>
            <w:r>
              <w:rPr>
                <w:rFonts w:ascii="Times New Roman" w:hAnsi="Times New Roman"/>
                <w:bCs/>
                <w:iCs/>
                <w:szCs w:val="20"/>
              </w:rPr>
              <w:t>R</w:t>
            </w:r>
            <w:r w:rsidR="00FB0112">
              <w:rPr>
                <w:rFonts w:ascii="Times New Roman" w:hAnsi="Times New Roman"/>
                <w:bCs/>
                <w:iCs/>
                <w:szCs w:val="20"/>
              </w:rPr>
              <w:t>eform Programme</w:t>
            </w:r>
            <w:r>
              <w:rPr>
                <w:rFonts w:ascii="Times New Roman" w:hAnsi="Times New Roman"/>
                <w:bCs/>
                <w:iCs/>
                <w:szCs w:val="20"/>
              </w:rPr>
              <w:t xml:space="preserve">, </w:t>
            </w:r>
            <w:r w:rsidR="00017EF6">
              <w:rPr>
                <w:rFonts w:ascii="Times New Roman" w:hAnsi="Times New Roman"/>
                <w:bCs/>
                <w:iCs/>
                <w:szCs w:val="20"/>
              </w:rPr>
              <w:t xml:space="preserve">Employment and Social </w:t>
            </w:r>
            <w:r>
              <w:rPr>
                <w:rFonts w:ascii="Times New Roman" w:hAnsi="Times New Roman"/>
                <w:bCs/>
                <w:iCs/>
                <w:szCs w:val="20"/>
              </w:rPr>
              <w:t>R</w:t>
            </w:r>
            <w:r w:rsidR="00FB0112">
              <w:rPr>
                <w:rFonts w:ascii="Times New Roman" w:hAnsi="Times New Roman"/>
                <w:bCs/>
                <w:iCs/>
                <w:szCs w:val="20"/>
              </w:rPr>
              <w:t xml:space="preserve">eform </w:t>
            </w:r>
            <w:r>
              <w:rPr>
                <w:rFonts w:ascii="Times New Roman" w:hAnsi="Times New Roman"/>
                <w:bCs/>
                <w:iCs/>
                <w:szCs w:val="20"/>
              </w:rPr>
              <w:t>P</w:t>
            </w:r>
            <w:r w:rsidR="00FB0112">
              <w:rPr>
                <w:rFonts w:ascii="Times New Roman" w:hAnsi="Times New Roman"/>
                <w:bCs/>
                <w:iCs/>
                <w:szCs w:val="20"/>
              </w:rPr>
              <w:t>rogramme</w:t>
            </w:r>
            <w:r>
              <w:rPr>
                <w:rFonts w:ascii="Times New Roman" w:hAnsi="Times New Roman"/>
                <w:bCs/>
                <w:iCs/>
                <w:szCs w:val="20"/>
              </w:rPr>
              <w:t>,</w:t>
            </w:r>
            <w:r w:rsidR="00FB0112">
              <w:rPr>
                <w:rFonts w:ascii="Times New Roman" w:hAnsi="Times New Roman"/>
                <w:bCs/>
                <w:iCs/>
                <w:szCs w:val="20"/>
              </w:rPr>
              <w:t xml:space="preserve"> key</w:t>
            </w:r>
            <w:r>
              <w:rPr>
                <w:rFonts w:ascii="Times New Roman" w:hAnsi="Times New Roman"/>
                <w:bCs/>
                <w:iCs/>
                <w:szCs w:val="20"/>
              </w:rPr>
              <w:t xml:space="preserve"> sector strategies</w:t>
            </w:r>
            <w:r w:rsidRPr="00BA7105">
              <w:rPr>
                <w:rFonts w:ascii="Times New Roman" w:hAnsi="Times New Roman"/>
                <w:bCs/>
                <w:iCs/>
                <w:szCs w:val="20"/>
              </w:rPr>
              <w:t>)</w:t>
            </w:r>
          </w:p>
        </w:tc>
        <w:tc>
          <w:tcPr>
            <w:tcW w:w="2835" w:type="dxa"/>
            <w:tcBorders>
              <w:top w:val="single" w:sz="8" w:space="0" w:color="auto"/>
              <w:left w:val="single" w:sz="8" w:space="0" w:color="auto"/>
              <w:bottom w:val="single" w:sz="8" w:space="0" w:color="auto"/>
              <w:right w:val="single" w:sz="8" w:space="0" w:color="auto"/>
            </w:tcBorders>
          </w:tcPr>
          <w:p w:rsidR="000F59C8" w:rsidRPr="0092695A" w:rsidRDefault="000F59C8">
            <w:pPr>
              <w:numPr>
                <w:ilvl w:val="12"/>
                <w:numId w:val="0"/>
              </w:numPr>
              <w:spacing w:before="0" w:after="0"/>
              <w:jc w:val="left"/>
              <w:rPr>
                <w:rFonts w:ascii="Times New Roman" w:hAnsi="Times New Roman" w:cs="Times New Roman"/>
                <w:iCs/>
                <w:sz w:val="20"/>
                <w:szCs w:val="20"/>
              </w:rPr>
            </w:pPr>
            <w:r w:rsidRPr="0092695A">
              <w:rPr>
                <w:rFonts w:ascii="Times New Roman" w:hAnsi="Times New Roman" w:cs="Times New Roman"/>
                <w:iCs/>
                <w:sz w:val="20"/>
                <w:szCs w:val="20"/>
              </w:rPr>
              <w:t>Eurostat Strategy for Statistical Cooperation with the Enlargement Countries 2014/20</w:t>
            </w:r>
            <w:r w:rsidRPr="0092695A">
              <w:rPr>
                <w:rFonts w:ascii="Times New Roman" w:hAnsi="Times New Roman" w:cs="Times New Roman"/>
                <w:iCs/>
                <w:sz w:val="20"/>
                <w:szCs w:val="20"/>
              </w:rPr>
              <w:br/>
              <w:t>SMIS+ reports</w:t>
            </w:r>
            <w:r w:rsidRPr="0092695A">
              <w:rPr>
                <w:rFonts w:ascii="Times New Roman" w:hAnsi="Times New Roman" w:cs="Times New Roman"/>
                <w:iCs/>
                <w:sz w:val="20"/>
                <w:szCs w:val="20"/>
              </w:rPr>
              <w:br/>
              <w:t>EDAMIS reports</w:t>
            </w:r>
          </w:p>
          <w:p w:rsidR="00E8678A" w:rsidRPr="0092695A" w:rsidRDefault="0004580A" w:rsidP="0004580A">
            <w:pPr>
              <w:numPr>
                <w:ilvl w:val="12"/>
                <w:numId w:val="0"/>
              </w:numPr>
              <w:spacing w:before="0" w:after="0"/>
              <w:jc w:val="left"/>
              <w:rPr>
                <w:rFonts w:ascii="Times New Roman" w:hAnsi="Times New Roman" w:cs="Times New Roman"/>
                <w:iCs/>
                <w:sz w:val="20"/>
                <w:szCs w:val="20"/>
              </w:rPr>
            </w:pPr>
            <w:r w:rsidRPr="0092695A">
              <w:rPr>
                <w:rFonts w:ascii="Times New Roman" w:hAnsi="Times New Roman" w:cs="Times New Roman"/>
                <w:iCs/>
                <w:sz w:val="20"/>
                <w:szCs w:val="20"/>
              </w:rPr>
              <w:t xml:space="preserve">Key programming documents (ERP, </w:t>
            </w:r>
            <w:r w:rsidR="00575BAF">
              <w:rPr>
                <w:rFonts w:ascii="Times New Roman" w:hAnsi="Times New Roman" w:cs="Times New Roman"/>
                <w:iCs/>
                <w:sz w:val="20"/>
                <w:szCs w:val="20"/>
              </w:rPr>
              <w:t>ESRP</w:t>
            </w:r>
            <w:r w:rsidRPr="0092695A">
              <w:rPr>
                <w:rFonts w:ascii="Times New Roman" w:hAnsi="Times New Roman" w:cs="Times New Roman"/>
                <w:iCs/>
                <w:sz w:val="20"/>
                <w:szCs w:val="20"/>
              </w:rPr>
              <w:t>,</w:t>
            </w:r>
            <w:r w:rsidR="00FE515C" w:rsidRPr="0092695A">
              <w:rPr>
                <w:rFonts w:ascii="Times New Roman" w:hAnsi="Times New Roman" w:cs="Times New Roman"/>
                <w:bCs/>
                <w:iCs/>
                <w:sz w:val="20"/>
                <w:szCs w:val="20"/>
              </w:rPr>
              <w:t>sector str</w:t>
            </w:r>
            <w:r w:rsidR="00096194" w:rsidRPr="0092695A">
              <w:rPr>
                <w:rFonts w:ascii="Times New Roman" w:hAnsi="Times New Roman" w:cs="Times New Roman"/>
                <w:bCs/>
                <w:iCs/>
                <w:sz w:val="20"/>
                <w:szCs w:val="20"/>
              </w:rPr>
              <w:t>a</w:t>
            </w:r>
            <w:r w:rsidR="00FE515C" w:rsidRPr="0092695A">
              <w:rPr>
                <w:rFonts w:ascii="Times New Roman" w:hAnsi="Times New Roman" w:cs="Times New Roman"/>
                <w:bCs/>
                <w:iCs/>
                <w:sz w:val="20"/>
                <w:szCs w:val="20"/>
              </w:rPr>
              <w:t>tegies</w:t>
            </w:r>
            <w:r w:rsidRPr="0092695A">
              <w:rPr>
                <w:rFonts w:ascii="Times New Roman" w:hAnsi="Times New Roman" w:cs="Times New Roman"/>
                <w:iCs/>
                <w:sz w:val="20"/>
                <w:szCs w:val="20"/>
              </w:rPr>
              <w:t>, etc – indicators dashboard)</w:t>
            </w:r>
          </w:p>
          <w:p w:rsidR="009040CB" w:rsidRPr="0092695A" w:rsidRDefault="009040CB" w:rsidP="0004580A">
            <w:pPr>
              <w:numPr>
                <w:ilvl w:val="12"/>
                <w:numId w:val="0"/>
              </w:numPr>
              <w:spacing w:before="0" w:after="0"/>
              <w:jc w:val="left"/>
              <w:rPr>
                <w:rFonts w:ascii="Times New Roman" w:hAnsi="Times New Roman" w:cs="Times New Roman"/>
                <w:iCs/>
                <w:sz w:val="20"/>
                <w:szCs w:val="20"/>
              </w:rPr>
            </w:pPr>
          </w:p>
        </w:tc>
        <w:tc>
          <w:tcPr>
            <w:tcW w:w="2835" w:type="dxa"/>
            <w:vMerge/>
            <w:tcBorders>
              <w:top w:val="single" w:sz="8" w:space="0" w:color="auto"/>
              <w:left w:val="single" w:sz="8" w:space="0" w:color="auto"/>
              <w:bottom w:val="single" w:sz="8" w:space="0" w:color="auto"/>
              <w:right w:val="single" w:sz="8" w:space="0" w:color="auto"/>
            </w:tcBorders>
          </w:tcPr>
          <w:p w:rsidR="000F59C8" w:rsidRPr="0092695A" w:rsidRDefault="000F59C8">
            <w:pPr>
              <w:numPr>
                <w:ilvl w:val="12"/>
                <w:numId w:val="0"/>
              </w:numPr>
              <w:spacing w:before="0" w:after="0"/>
              <w:jc w:val="left"/>
              <w:rPr>
                <w:rFonts w:ascii="Times New Roman" w:hAnsi="Times New Roman" w:cs="Times New Roman"/>
                <w:sz w:val="20"/>
                <w:szCs w:val="20"/>
              </w:rPr>
            </w:pPr>
          </w:p>
        </w:tc>
      </w:tr>
      <w:tr w:rsidR="00252DA0" w:rsidRPr="00FE515C" w:rsidTr="00484A66">
        <w:trPr>
          <w:trHeight w:val="358"/>
        </w:trPr>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numPr>
                <w:ilvl w:val="12"/>
                <w:numId w:val="0"/>
              </w:numPr>
              <w:spacing w:before="0" w:after="0"/>
              <w:jc w:val="left"/>
              <w:rPr>
                <w:rFonts w:ascii="Times New Roman" w:hAnsi="Times New Roman" w:cs="Times New Roman"/>
                <w:b/>
                <w:sz w:val="20"/>
                <w:szCs w:val="20"/>
              </w:rPr>
            </w:pPr>
            <w:r w:rsidRPr="0092695A">
              <w:rPr>
                <w:rFonts w:ascii="Times New Roman" w:hAnsi="Times New Roman" w:cs="Times New Roman"/>
                <w:b/>
                <w:sz w:val="20"/>
                <w:szCs w:val="20"/>
              </w:rPr>
              <w:t>RESULTS</w:t>
            </w:r>
          </w:p>
        </w:tc>
        <w:tc>
          <w:tcPr>
            <w:tcW w:w="609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OBJECTIVELY VERIFIABLE INDICATORS</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b/>
                <w:sz w:val="20"/>
                <w:szCs w:val="20"/>
              </w:rPr>
              <w:t>SOURCES OF VERIFICATION</w:t>
            </w:r>
          </w:p>
        </w:tc>
        <w:tc>
          <w:tcPr>
            <w:tcW w:w="283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52DA0" w:rsidRPr="0092695A" w:rsidRDefault="005E4C45">
            <w:pPr>
              <w:numPr>
                <w:ilvl w:val="12"/>
                <w:numId w:val="0"/>
              </w:numPr>
              <w:spacing w:before="0" w:after="0"/>
              <w:jc w:val="left"/>
              <w:rPr>
                <w:rFonts w:ascii="Times New Roman" w:hAnsi="Times New Roman" w:cs="Times New Roman"/>
                <w:b/>
                <w:sz w:val="20"/>
                <w:szCs w:val="20"/>
              </w:rPr>
            </w:pPr>
            <w:r w:rsidRPr="0092695A">
              <w:rPr>
                <w:rFonts w:ascii="Times New Roman" w:hAnsi="Times New Roman" w:cs="Times New Roman"/>
                <w:b/>
                <w:sz w:val="20"/>
                <w:szCs w:val="20"/>
              </w:rPr>
              <w:t>ASSUMPTIONS</w:t>
            </w:r>
          </w:p>
        </w:tc>
      </w:tr>
      <w:tr w:rsidR="00FE515C" w:rsidRPr="00FE515C" w:rsidTr="00484A66">
        <w:trPr>
          <w:trHeight w:val="162"/>
        </w:trPr>
        <w:tc>
          <w:tcPr>
            <w:tcW w:w="3119" w:type="dxa"/>
            <w:tcBorders>
              <w:top w:val="single" w:sz="8" w:space="0" w:color="auto"/>
              <w:left w:val="single" w:sz="8" w:space="0" w:color="auto"/>
              <w:bottom w:val="single" w:sz="8" w:space="0" w:color="auto"/>
              <w:right w:val="single" w:sz="8" w:space="0" w:color="auto"/>
            </w:tcBorders>
          </w:tcPr>
          <w:p w:rsidR="00FE515C" w:rsidRPr="0092695A" w:rsidRDefault="00804DC6" w:rsidP="00804DC6">
            <w:pPr>
              <w:spacing w:before="0" w:after="0"/>
              <w:jc w:val="left"/>
              <w:rPr>
                <w:rFonts w:ascii="Times New Roman" w:hAnsi="Times New Roman" w:cs="Times New Roman"/>
                <w:bCs/>
                <w:iCs/>
                <w:sz w:val="20"/>
                <w:szCs w:val="20"/>
              </w:rPr>
            </w:pPr>
            <w:r w:rsidRPr="0092695A">
              <w:rPr>
                <w:rFonts w:ascii="Times New Roman" w:hAnsi="Times New Roman" w:cs="Times New Roman"/>
                <w:b/>
                <w:bCs/>
                <w:iCs/>
                <w:sz w:val="20"/>
                <w:szCs w:val="20"/>
              </w:rPr>
              <w:t xml:space="preserve">Result </w:t>
            </w:r>
            <w:r w:rsidR="00FE515C" w:rsidRPr="0092695A">
              <w:rPr>
                <w:rFonts w:ascii="Times New Roman" w:hAnsi="Times New Roman" w:cs="Times New Roman"/>
                <w:b/>
                <w:bCs/>
                <w:iCs/>
                <w:sz w:val="20"/>
                <w:szCs w:val="20"/>
              </w:rPr>
              <w:t>1</w:t>
            </w:r>
            <w:r w:rsidR="00EB1E81" w:rsidRPr="0092695A">
              <w:rPr>
                <w:rFonts w:ascii="Times New Roman" w:hAnsi="Times New Roman" w:cs="Times New Roman"/>
                <w:b/>
                <w:bCs/>
                <w:iCs/>
                <w:sz w:val="20"/>
                <w:szCs w:val="20"/>
              </w:rPr>
              <w:t>.1</w:t>
            </w:r>
            <w:r w:rsidR="00FE515C" w:rsidRPr="0092695A">
              <w:rPr>
                <w:rFonts w:ascii="Times New Roman" w:hAnsi="Times New Roman" w:cs="Times New Roman"/>
                <w:bCs/>
                <w:iCs/>
                <w:sz w:val="20"/>
                <w:szCs w:val="20"/>
              </w:rPr>
              <w:t>– Streamlined and optimised institutional framework</w:t>
            </w: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i/>
                <w:sz w:val="20"/>
                <w:szCs w:val="20"/>
              </w:rPr>
            </w:pPr>
            <w:r w:rsidRPr="0092695A">
              <w:rPr>
                <w:rFonts w:ascii="Times New Roman" w:hAnsi="Times New Roman" w:cs="Times New Roman"/>
                <w:sz w:val="20"/>
                <w:szCs w:val="20"/>
              </w:rPr>
              <w:t>Extent to which the overall structure of ministries and other bodies subordinated to central government is rational and coherent (SIGMA score)</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SIGMA Baseline measurement reports/Assessment reports</w:t>
            </w:r>
          </w:p>
        </w:tc>
        <w:tc>
          <w:tcPr>
            <w:tcW w:w="2835" w:type="dxa"/>
            <w:vMerge w:val="restart"/>
            <w:tcBorders>
              <w:top w:val="single" w:sz="8" w:space="0" w:color="auto"/>
              <w:left w:val="single" w:sz="8" w:space="0" w:color="auto"/>
              <w:bottom w:val="single" w:sz="8" w:space="0" w:color="auto"/>
              <w:right w:val="single" w:sz="8" w:space="0" w:color="auto"/>
            </w:tcBorders>
          </w:tcPr>
          <w:p w:rsidR="00FE515C" w:rsidRPr="0060557A" w:rsidRDefault="00FE515C" w:rsidP="0060557A">
            <w:pPr>
              <w:spacing w:before="0" w:after="0"/>
              <w:jc w:val="left"/>
              <w:rPr>
                <w:rFonts w:ascii="Times New Roman" w:hAnsi="Times New Roman" w:cs="Times New Roman"/>
                <w:sz w:val="20"/>
                <w:szCs w:val="20"/>
              </w:rPr>
            </w:pPr>
            <w:r w:rsidRPr="0060557A">
              <w:rPr>
                <w:rFonts w:ascii="Times New Roman" w:hAnsi="Times New Roman" w:cs="Times New Roman"/>
                <w:sz w:val="20"/>
                <w:szCs w:val="20"/>
              </w:rPr>
              <w:t>Financial and human resources necessary to implement the reform are allocated and made available timely and in line with the milestones of the PAR Strategy 2017-2022</w:t>
            </w:r>
          </w:p>
          <w:p w:rsidR="0060557A" w:rsidRPr="0060557A" w:rsidRDefault="00FE515C" w:rsidP="0060557A">
            <w:pPr>
              <w:spacing w:after="0"/>
              <w:jc w:val="left"/>
              <w:rPr>
                <w:rFonts w:ascii="Times New Roman" w:hAnsi="Times New Roman" w:cs="Times New Roman"/>
                <w:sz w:val="20"/>
                <w:szCs w:val="20"/>
              </w:rPr>
            </w:pPr>
            <w:r w:rsidRPr="0060557A">
              <w:rPr>
                <w:rFonts w:ascii="Times New Roman" w:hAnsi="Times New Roman" w:cs="Times New Roman"/>
                <w:sz w:val="20"/>
                <w:szCs w:val="20"/>
              </w:rPr>
              <w:t>Cooperation with national partners is assured (State Administrations, Institutions, CSOs, private sector, etc.)</w:t>
            </w:r>
          </w:p>
          <w:p w:rsidR="00FE515C" w:rsidRPr="0060557A" w:rsidRDefault="00FE515C" w:rsidP="0060557A">
            <w:pPr>
              <w:spacing w:after="0"/>
              <w:jc w:val="left"/>
              <w:rPr>
                <w:rFonts w:ascii="Times New Roman" w:hAnsi="Times New Roman" w:cs="Times New Roman"/>
                <w:sz w:val="20"/>
                <w:szCs w:val="20"/>
              </w:rPr>
            </w:pPr>
            <w:r w:rsidRPr="0060557A">
              <w:rPr>
                <w:rFonts w:ascii="Times New Roman" w:hAnsi="Times New Roman" w:cs="Times New Roman"/>
                <w:sz w:val="20"/>
                <w:szCs w:val="20"/>
              </w:rPr>
              <w:t>Cooperation  among the owners of  administrative data  sources is ensured</w:t>
            </w:r>
          </w:p>
          <w:p w:rsidR="00FE515C" w:rsidRPr="0060557A" w:rsidRDefault="00FE515C" w:rsidP="0060557A">
            <w:pPr>
              <w:spacing w:after="0"/>
              <w:jc w:val="left"/>
              <w:rPr>
                <w:rFonts w:ascii="Times New Roman" w:hAnsi="Times New Roman" w:cs="Times New Roman"/>
                <w:sz w:val="20"/>
                <w:szCs w:val="20"/>
              </w:rPr>
            </w:pPr>
            <w:r w:rsidRPr="0060557A">
              <w:rPr>
                <w:rFonts w:ascii="Times New Roman" w:hAnsi="Times New Roman" w:cs="Times New Roman"/>
                <w:sz w:val="20"/>
                <w:szCs w:val="20"/>
              </w:rPr>
              <w:t xml:space="preserve">Relevant </w:t>
            </w:r>
            <w:r w:rsidR="007F0051" w:rsidRPr="0060557A">
              <w:rPr>
                <w:rFonts w:ascii="Times New Roman" w:hAnsi="Times New Roman" w:cs="Times New Roman"/>
                <w:sz w:val="20"/>
                <w:szCs w:val="20"/>
              </w:rPr>
              <w:t xml:space="preserve">staff of </w:t>
            </w:r>
            <w:r w:rsidRPr="0060557A">
              <w:rPr>
                <w:rFonts w:ascii="Times New Roman" w:hAnsi="Times New Roman" w:cs="Times New Roman"/>
                <w:sz w:val="20"/>
                <w:szCs w:val="20"/>
              </w:rPr>
              <w:t>Public Administration is maintained with adequate skills and turnover</w:t>
            </w:r>
            <w:r w:rsidR="007F0051" w:rsidRPr="0060557A">
              <w:rPr>
                <w:rFonts w:ascii="Times New Roman" w:hAnsi="Times New Roman" w:cs="Times New Roman"/>
                <w:sz w:val="20"/>
                <w:szCs w:val="20"/>
              </w:rPr>
              <w:t xml:space="preserve"> contained</w:t>
            </w:r>
          </w:p>
          <w:p w:rsidR="00FE515C" w:rsidRPr="0060557A" w:rsidRDefault="00FE515C" w:rsidP="0060557A">
            <w:pPr>
              <w:spacing w:after="0"/>
              <w:jc w:val="left"/>
              <w:rPr>
                <w:rFonts w:ascii="Times New Roman" w:hAnsi="Times New Roman" w:cs="Times New Roman"/>
                <w:sz w:val="20"/>
                <w:szCs w:val="20"/>
              </w:rPr>
            </w:pPr>
            <w:r w:rsidRPr="0060557A">
              <w:rPr>
                <w:rFonts w:ascii="Times New Roman" w:hAnsi="Times New Roman" w:cs="Times New Roman"/>
                <w:sz w:val="20"/>
                <w:szCs w:val="20"/>
              </w:rPr>
              <w:t>Government is willing to change administration operations to take advantage of the functionality offered by the new technologies</w:t>
            </w:r>
          </w:p>
          <w:p w:rsidR="00FE515C" w:rsidRPr="0060557A" w:rsidRDefault="00FE515C" w:rsidP="00BA2001">
            <w:pPr>
              <w:spacing w:after="0"/>
              <w:jc w:val="left"/>
              <w:rPr>
                <w:rFonts w:ascii="Times New Roman" w:hAnsi="Times New Roman" w:cs="Times New Roman"/>
                <w:sz w:val="20"/>
                <w:szCs w:val="20"/>
              </w:rPr>
            </w:pPr>
            <w:r w:rsidRPr="0060557A">
              <w:rPr>
                <w:rFonts w:ascii="Times New Roman" w:hAnsi="Times New Roman" w:cs="Times New Roman"/>
                <w:sz w:val="20"/>
                <w:szCs w:val="20"/>
              </w:rPr>
              <w:t xml:space="preserve">The national support system for SMEs responds to the business sector needs </w:t>
            </w:r>
          </w:p>
        </w:tc>
      </w:tr>
      <w:tr w:rsidR="00FE515C" w:rsidRPr="00FE515C" w:rsidTr="00484A66">
        <w:trPr>
          <w:trHeight w:val="236"/>
        </w:trPr>
        <w:tc>
          <w:tcPr>
            <w:tcW w:w="3119" w:type="dxa"/>
            <w:vMerge w:val="restart"/>
            <w:tcBorders>
              <w:top w:val="single" w:sz="8" w:space="0" w:color="auto"/>
              <w:left w:val="single" w:sz="8" w:space="0" w:color="auto"/>
              <w:bottom w:val="single" w:sz="8" w:space="0" w:color="auto"/>
              <w:right w:val="single" w:sz="8" w:space="0" w:color="auto"/>
            </w:tcBorders>
          </w:tcPr>
          <w:p w:rsidR="00FE515C" w:rsidRPr="0092695A" w:rsidRDefault="00804DC6" w:rsidP="00B80FAD">
            <w:pPr>
              <w:spacing w:before="0" w:after="0"/>
              <w:jc w:val="left"/>
              <w:rPr>
                <w:rFonts w:ascii="Times New Roman" w:hAnsi="Times New Roman" w:cs="Times New Roman"/>
                <w:b/>
                <w:bCs/>
                <w:iCs/>
                <w:sz w:val="20"/>
                <w:szCs w:val="20"/>
              </w:rPr>
            </w:pPr>
            <w:r w:rsidRPr="0092695A">
              <w:rPr>
                <w:rFonts w:ascii="Times New Roman" w:hAnsi="Times New Roman" w:cs="Times New Roman"/>
                <w:b/>
                <w:bCs/>
                <w:iCs/>
                <w:sz w:val="20"/>
                <w:szCs w:val="20"/>
              </w:rPr>
              <w:t xml:space="preserve">Result </w:t>
            </w:r>
            <w:r w:rsidR="00FE515C" w:rsidRPr="0092695A">
              <w:rPr>
                <w:rFonts w:ascii="Times New Roman" w:hAnsi="Times New Roman" w:cs="Times New Roman"/>
                <w:b/>
                <w:bCs/>
                <w:iCs/>
                <w:sz w:val="20"/>
                <w:szCs w:val="20"/>
              </w:rPr>
              <w:t>1.2</w:t>
            </w:r>
            <w:r w:rsidR="00FE515C" w:rsidRPr="0092695A">
              <w:rPr>
                <w:rFonts w:ascii="Times New Roman" w:hAnsi="Times New Roman" w:cs="Times New Roman"/>
                <w:bCs/>
                <w:iCs/>
                <w:sz w:val="20"/>
                <w:szCs w:val="20"/>
              </w:rPr>
              <w:t xml:space="preserve"> - Strengthened systems ensuring transparency, integrity and ethics in the public institutions </w:t>
            </w: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FE515C" w:rsidRPr="0092695A" w:rsidRDefault="00FE515C">
            <w:pPr>
              <w:spacing w:before="0" w:after="0"/>
              <w:jc w:val="left"/>
              <w:rPr>
                <w:rFonts w:ascii="Times New Roman" w:hAnsi="Times New Roman" w:cs="Times New Roman"/>
                <w:bCs/>
                <w:iCs/>
                <w:sz w:val="20"/>
                <w:szCs w:val="20"/>
              </w:rPr>
            </w:pPr>
            <w:r w:rsidRPr="0092695A">
              <w:rPr>
                <w:rFonts w:ascii="Times New Roman" w:hAnsi="Times New Roman" w:cs="Times New Roman"/>
                <w:bCs/>
                <w:iCs/>
                <w:sz w:val="20"/>
                <w:szCs w:val="20"/>
              </w:rPr>
              <w:t>Number of institutions which implement integrity policy</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rsidP="00096194">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SCPC</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236"/>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Cs/>
                <w:iCs/>
                <w:sz w:val="20"/>
                <w:szCs w:val="20"/>
              </w:rPr>
            </w:pP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FE515C" w:rsidRPr="0092695A" w:rsidRDefault="00FE515C">
            <w:pPr>
              <w:spacing w:before="0" w:after="0"/>
              <w:jc w:val="left"/>
              <w:rPr>
                <w:rFonts w:ascii="Times New Roman" w:hAnsi="Times New Roman" w:cs="Times New Roman"/>
                <w:bCs/>
                <w:iCs/>
                <w:sz w:val="20"/>
                <w:szCs w:val="20"/>
              </w:rPr>
            </w:pPr>
            <w:r w:rsidRPr="0092695A">
              <w:rPr>
                <w:rFonts w:ascii="Times New Roman" w:hAnsi="Times New Roman" w:cs="Times New Roman"/>
                <w:sz w:val="20"/>
                <w:szCs w:val="20"/>
              </w:rPr>
              <w:t>Percentage of institutions applying transparency standards</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Commission for rights to free access to public information </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236"/>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Cs/>
                <w:iCs/>
                <w:sz w:val="20"/>
                <w:szCs w:val="20"/>
              </w:rPr>
            </w:pP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bCs/>
                <w:iCs/>
                <w:sz w:val="20"/>
                <w:szCs w:val="20"/>
              </w:rPr>
              <w:t>No of whistleblowing cases</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SCPC </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466"/>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Number of requests for information refused/unanswered in breach of the law</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Commission for rights to free access to public information </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3"/>
        </w:trPr>
        <w:tc>
          <w:tcPr>
            <w:tcW w:w="3119" w:type="dxa"/>
            <w:vMerge w:val="restart"/>
            <w:tcBorders>
              <w:top w:val="single" w:sz="8" w:space="0" w:color="auto"/>
              <w:left w:val="single" w:sz="8" w:space="0" w:color="auto"/>
              <w:bottom w:val="single" w:sz="8" w:space="0" w:color="auto"/>
              <w:right w:val="single" w:sz="8" w:space="0" w:color="auto"/>
            </w:tcBorders>
          </w:tcPr>
          <w:p w:rsidR="00FE515C" w:rsidRPr="0092695A" w:rsidRDefault="00804DC6" w:rsidP="002851C7">
            <w:pPr>
              <w:spacing w:before="0" w:after="0"/>
              <w:jc w:val="left"/>
              <w:rPr>
                <w:rFonts w:ascii="Times New Roman" w:hAnsi="Times New Roman" w:cs="Times New Roman"/>
                <w:bCs/>
                <w:iCs/>
                <w:sz w:val="20"/>
                <w:szCs w:val="20"/>
              </w:rPr>
            </w:pPr>
            <w:r w:rsidRPr="0092695A">
              <w:rPr>
                <w:rFonts w:ascii="Times New Roman" w:hAnsi="Times New Roman" w:cs="Times New Roman"/>
                <w:b/>
                <w:bCs/>
                <w:iCs/>
                <w:sz w:val="20"/>
                <w:szCs w:val="20"/>
              </w:rPr>
              <w:t xml:space="preserve">Result </w:t>
            </w:r>
            <w:r w:rsidR="00FE515C" w:rsidRPr="0092695A">
              <w:rPr>
                <w:rFonts w:ascii="Times New Roman" w:hAnsi="Times New Roman" w:cs="Times New Roman"/>
                <w:b/>
                <w:bCs/>
                <w:iCs/>
                <w:sz w:val="20"/>
                <w:szCs w:val="20"/>
              </w:rPr>
              <w:t>1.</w:t>
            </w:r>
            <w:r w:rsidR="002851C7" w:rsidRPr="0092695A">
              <w:rPr>
                <w:rFonts w:ascii="Times New Roman" w:hAnsi="Times New Roman" w:cs="Times New Roman"/>
                <w:b/>
                <w:bCs/>
                <w:iCs/>
                <w:sz w:val="20"/>
                <w:szCs w:val="20"/>
              </w:rPr>
              <w:t>3</w:t>
            </w:r>
            <w:r w:rsidR="00FE515C" w:rsidRPr="0092695A">
              <w:rPr>
                <w:rFonts w:ascii="Times New Roman" w:hAnsi="Times New Roman" w:cs="Times New Roman"/>
                <w:bCs/>
                <w:iCs/>
                <w:sz w:val="20"/>
                <w:szCs w:val="20"/>
              </w:rPr>
              <w:t>– Improved delivery, quality, number and scope of public services to citizens and to business (e-Government)</w:t>
            </w:r>
          </w:p>
        </w:tc>
        <w:tc>
          <w:tcPr>
            <w:tcW w:w="6095" w:type="dxa"/>
            <w:tcBorders>
              <w:top w:val="single" w:sz="8" w:space="0" w:color="auto"/>
              <w:left w:val="single" w:sz="8" w:space="0" w:color="auto"/>
              <w:bottom w:val="single" w:sz="8" w:space="0" w:color="auto"/>
              <w:right w:val="single" w:sz="8" w:space="0" w:color="auto"/>
            </w:tcBorders>
            <w:shd w:val="clear" w:color="auto" w:fill="auto"/>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Number of services accessible and available by Single point of contact</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MISA – Annual reports</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0"/>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Percentage of users vs target users’ ratio of e-services</w:t>
            </w:r>
          </w:p>
        </w:tc>
        <w:tc>
          <w:tcPr>
            <w:tcW w:w="2835" w:type="dxa"/>
            <w:vMerge w:val="restart"/>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 xml:space="preserve">Regular OSS system performance monitoring reports </w:t>
            </w:r>
            <w:r w:rsidRPr="0092695A">
              <w:rPr>
                <w:rFonts w:ascii="Times New Roman" w:eastAsia="Calibri" w:hAnsi="Times New Roman" w:cs="Times New Roman"/>
                <w:iCs/>
                <w:sz w:val="20"/>
                <w:szCs w:val="20"/>
                <w:lang w:eastAsia="en-US"/>
              </w:rPr>
              <w:br/>
              <w:t>Changes of laws and/or by-laws (Official Gazette)</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3"/>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Pilot statistics on the performance by body and public officers involved in service delivery</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3"/>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Coverage of OSS umbrella system established (percentage of relevant institutions covered)</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3"/>
        </w:trPr>
        <w:tc>
          <w:tcPr>
            <w:tcW w:w="3119" w:type="dxa"/>
            <w:vMerge w:val="restart"/>
            <w:tcBorders>
              <w:top w:val="single" w:sz="8" w:space="0" w:color="auto"/>
              <w:left w:val="single" w:sz="8" w:space="0" w:color="auto"/>
              <w:bottom w:val="single" w:sz="8" w:space="0" w:color="auto"/>
              <w:right w:val="single" w:sz="8" w:space="0" w:color="auto"/>
            </w:tcBorders>
          </w:tcPr>
          <w:p w:rsidR="00FE515C" w:rsidRPr="0092695A" w:rsidRDefault="00804DC6" w:rsidP="006F55D6">
            <w:pPr>
              <w:spacing w:before="0" w:after="0"/>
              <w:jc w:val="left"/>
              <w:rPr>
                <w:rFonts w:ascii="Times New Roman" w:hAnsi="Times New Roman" w:cs="Times New Roman"/>
                <w:bCs/>
                <w:iCs/>
                <w:sz w:val="20"/>
                <w:szCs w:val="20"/>
              </w:rPr>
            </w:pPr>
            <w:r w:rsidRPr="0092695A">
              <w:rPr>
                <w:rFonts w:ascii="Times New Roman" w:hAnsi="Times New Roman" w:cs="Times New Roman"/>
                <w:b/>
                <w:bCs/>
                <w:iCs/>
                <w:sz w:val="20"/>
                <w:szCs w:val="20"/>
              </w:rPr>
              <w:t xml:space="preserve">Result </w:t>
            </w:r>
            <w:r w:rsidR="00FE515C" w:rsidRPr="0092695A">
              <w:rPr>
                <w:rFonts w:ascii="Times New Roman" w:hAnsi="Times New Roman" w:cs="Times New Roman"/>
                <w:b/>
                <w:bCs/>
                <w:iCs/>
                <w:sz w:val="20"/>
                <w:szCs w:val="20"/>
              </w:rPr>
              <w:t>2.1</w:t>
            </w:r>
            <w:r w:rsidR="00FE515C" w:rsidRPr="0092695A">
              <w:rPr>
                <w:rFonts w:ascii="Times New Roman" w:hAnsi="Times New Roman" w:cs="Times New Roman"/>
                <w:bCs/>
                <w:iCs/>
                <w:sz w:val="20"/>
                <w:szCs w:val="20"/>
              </w:rPr>
              <w:t xml:space="preserve">– Improved alignment with the </w:t>
            </w:r>
            <w:r w:rsidR="0068730F" w:rsidRPr="0092695A">
              <w:rPr>
                <w:rFonts w:ascii="Times New Roman" w:hAnsi="Times New Roman" w:cs="Times New Roman"/>
                <w:bCs/>
                <w:i/>
                <w:iCs/>
                <w:sz w:val="20"/>
                <w:szCs w:val="20"/>
              </w:rPr>
              <w:t>a</w:t>
            </w:r>
            <w:r w:rsidR="00FE515C" w:rsidRPr="0092695A">
              <w:rPr>
                <w:rFonts w:ascii="Times New Roman" w:hAnsi="Times New Roman" w:cs="Times New Roman"/>
                <w:bCs/>
                <w:i/>
                <w:iCs/>
                <w:sz w:val="20"/>
                <w:szCs w:val="20"/>
              </w:rPr>
              <w:t>cquis</w:t>
            </w:r>
            <w:r w:rsidR="00FE515C" w:rsidRPr="0092695A">
              <w:rPr>
                <w:rFonts w:ascii="Times New Roman" w:hAnsi="Times New Roman" w:cs="Times New Roman"/>
                <w:bCs/>
                <w:iCs/>
                <w:sz w:val="20"/>
                <w:szCs w:val="20"/>
              </w:rPr>
              <w:t xml:space="preserve"> in the field of macro-economic, business and social statistics</w:t>
            </w: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GDP statistics on quarterly level by expenditure approach at current and constant prices</w:t>
            </w:r>
          </w:p>
        </w:tc>
        <w:tc>
          <w:tcPr>
            <w:tcW w:w="2835" w:type="dxa"/>
            <w:vMerge w:val="restart"/>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EDAMIS reports /SMIS+ reports / EC Progress report for chapter 18 Statistics</w:t>
            </w:r>
            <w:r w:rsidRPr="0092695A">
              <w:rPr>
                <w:rFonts w:ascii="Times New Roman" w:hAnsi="Times New Roman" w:cs="Times New Roman"/>
                <w:sz w:val="20"/>
                <w:szCs w:val="20"/>
              </w:rPr>
              <w:br/>
              <w:t>SSO web site and reports</w:t>
            </w:r>
          </w:p>
          <w:p w:rsidR="006D7F93" w:rsidRPr="0092695A" w:rsidRDefault="00FE515C" w:rsidP="00FE515C">
            <w:pPr>
              <w:numPr>
                <w:ilvl w:val="12"/>
                <w:numId w:val="0"/>
              </w:numPr>
              <w:spacing w:before="0" w:after="0"/>
              <w:jc w:val="left"/>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Changes of laws and/or by-laws (Official Gazette)</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0"/>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Percentage of indicators compiled for EDP notification tables in accordance with ESA 2010</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80"/>
        </w:trPr>
        <w:tc>
          <w:tcPr>
            <w:tcW w:w="3119"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b/>
                <w:bCs/>
                <w:iCs/>
                <w:sz w:val="20"/>
                <w:szCs w:val="20"/>
              </w:rPr>
            </w:pP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Number of improved statistical methodologies and surveys</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r w:rsidR="00FE515C" w:rsidRPr="00FE515C" w:rsidTr="00484A66">
        <w:trPr>
          <w:trHeight w:val="651"/>
        </w:trPr>
        <w:tc>
          <w:tcPr>
            <w:tcW w:w="3119" w:type="dxa"/>
            <w:tcBorders>
              <w:top w:val="single" w:sz="8" w:space="0" w:color="auto"/>
              <w:left w:val="single" w:sz="8" w:space="0" w:color="auto"/>
              <w:bottom w:val="single" w:sz="8" w:space="0" w:color="auto"/>
              <w:right w:val="single" w:sz="8" w:space="0" w:color="auto"/>
            </w:tcBorders>
          </w:tcPr>
          <w:p w:rsidR="00FE515C" w:rsidRPr="0092695A" w:rsidRDefault="00804DC6" w:rsidP="0002225D">
            <w:pPr>
              <w:spacing w:before="0" w:after="0"/>
              <w:jc w:val="left"/>
              <w:rPr>
                <w:rFonts w:ascii="Times New Roman" w:hAnsi="Times New Roman" w:cs="Times New Roman"/>
                <w:bCs/>
                <w:iCs/>
                <w:sz w:val="20"/>
                <w:szCs w:val="20"/>
              </w:rPr>
            </w:pPr>
            <w:r w:rsidRPr="0092695A">
              <w:rPr>
                <w:rFonts w:ascii="Times New Roman" w:hAnsi="Times New Roman" w:cs="Times New Roman"/>
                <w:b/>
                <w:bCs/>
                <w:iCs/>
                <w:sz w:val="20"/>
                <w:szCs w:val="20"/>
              </w:rPr>
              <w:t xml:space="preserve">Result </w:t>
            </w:r>
            <w:r w:rsidR="00FE515C" w:rsidRPr="0092695A">
              <w:rPr>
                <w:rFonts w:ascii="Times New Roman" w:hAnsi="Times New Roman" w:cs="Times New Roman"/>
                <w:b/>
                <w:bCs/>
                <w:iCs/>
                <w:sz w:val="20"/>
                <w:szCs w:val="20"/>
              </w:rPr>
              <w:t>2.2</w:t>
            </w:r>
            <w:r w:rsidR="00FE515C" w:rsidRPr="0092695A">
              <w:rPr>
                <w:rFonts w:ascii="Times New Roman" w:hAnsi="Times New Roman" w:cs="Times New Roman"/>
                <w:bCs/>
                <w:iCs/>
                <w:sz w:val="20"/>
                <w:szCs w:val="20"/>
              </w:rPr>
              <w:t>–</w:t>
            </w:r>
            <w:r w:rsidR="0002225D" w:rsidRPr="0092695A">
              <w:rPr>
                <w:rFonts w:ascii="Times New Roman" w:hAnsi="Times New Roman" w:cs="Times New Roman"/>
                <w:bCs/>
                <w:iCs/>
                <w:sz w:val="20"/>
                <w:szCs w:val="20"/>
              </w:rPr>
              <w:t>C</w:t>
            </w:r>
            <w:r w:rsidR="00FE515C" w:rsidRPr="0092695A">
              <w:rPr>
                <w:rFonts w:ascii="Times New Roman" w:hAnsi="Times New Roman" w:cs="Times New Roman"/>
                <w:bCs/>
                <w:iCs/>
                <w:sz w:val="20"/>
                <w:szCs w:val="20"/>
              </w:rPr>
              <w:t>apacity in production and dissemination of EU compliant statistics</w:t>
            </w:r>
            <w:r w:rsidR="0002225D" w:rsidRPr="0092695A">
              <w:rPr>
                <w:rFonts w:ascii="Times New Roman" w:hAnsi="Times New Roman" w:cs="Times New Roman"/>
                <w:bCs/>
                <w:iCs/>
                <w:sz w:val="20"/>
                <w:szCs w:val="20"/>
              </w:rPr>
              <w:t xml:space="preserve"> isstrengthened</w:t>
            </w:r>
          </w:p>
        </w:tc>
        <w:tc>
          <w:tcPr>
            <w:tcW w:w="6095" w:type="dxa"/>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Percentage of SBPM sub-processes covered by standard metadata driven tools</w:t>
            </w:r>
          </w:p>
        </w:tc>
        <w:tc>
          <w:tcPr>
            <w:tcW w:w="2835" w:type="dxa"/>
            <w:tcBorders>
              <w:top w:val="single" w:sz="8" w:space="0" w:color="auto"/>
              <w:left w:val="single" w:sz="8" w:space="0" w:color="auto"/>
              <w:bottom w:val="single" w:sz="8" w:space="0" w:color="auto"/>
              <w:right w:val="single" w:sz="8" w:space="0" w:color="auto"/>
            </w:tcBorders>
          </w:tcPr>
          <w:p w:rsidR="00FE515C" w:rsidRPr="0092695A" w:rsidRDefault="00FE515C">
            <w:pPr>
              <w:numPr>
                <w:ilvl w:val="12"/>
                <w:numId w:val="0"/>
              </w:num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SSO web site</w:t>
            </w:r>
          </w:p>
        </w:tc>
        <w:tc>
          <w:tcPr>
            <w:tcW w:w="2835" w:type="dxa"/>
            <w:vMerge/>
            <w:tcBorders>
              <w:top w:val="single" w:sz="8" w:space="0" w:color="auto"/>
              <w:left w:val="single" w:sz="8" w:space="0" w:color="auto"/>
              <w:bottom w:val="single" w:sz="8" w:space="0" w:color="auto"/>
              <w:right w:val="single" w:sz="8" w:space="0" w:color="auto"/>
            </w:tcBorders>
          </w:tcPr>
          <w:p w:rsidR="00FE515C" w:rsidRPr="0092695A" w:rsidRDefault="00FE515C">
            <w:pPr>
              <w:spacing w:before="0" w:after="0"/>
              <w:jc w:val="left"/>
              <w:rPr>
                <w:rFonts w:ascii="Times New Roman" w:hAnsi="Times New Roman" w:cs="Times New Roman"/>
                <w:sz w:val="20"/>
                <w:szCs w:val="20"/>
              </w:rPr>
            </w:pPr>
          </w:p>
        </w:tc>
      </w:tr>
    </w:tbl>
    <w:p w:rsidR="00D127FF" w:rsidRDefault="00D127FF">
      <w:pPr>
        <w:pStyle w:val="FootnoteText"/>
        <w:ind w:left="0" w:firstLine="0"/>
        <w:jc w:val="left"/>
        <w:rPr>
          <w:rFonts w:ascii="Times New Roman" w:hAnsi="Times New Roman" w:cs="Times New Roman"/>
          <w:sz w:val="32"/>
          <w:szCs w:val="22"/>
          <w:highlight w:val="yellow"/>
        </w:rPr>
        <w:sectPr w:rsidR="00D127FF" w:rsidSect="0060557A">
          <w:footnotePr>
            <w:numRestart w:val="eachSect"/>
          </w:footnotePr>
          <w:pgSz w:w="16838" w:h="11906" w:orient="landscape" w:code="9"/>
          <w:pgMar w:top="1276" w:right="851" w:bottom="993" w:left="1134" w:header="709" w:footer="283" w:gutter="0"/>
          <w:cols w:space="708"/>
          <w:titlePg/>
          <w:docGrid w:linePitch="360"/>
        </w:sectPr>
      </w:pPr>
    </w:p>
    <w:p w:rsidR="00607482" w:rsidRDefault="005E4C45" w:rsidP="00AC2900">
      <w:pPr>
        <w:pStyle w:val="BodyText"/>
        <w:spacing w:before="120" w:after="240"/>
        <w:outlineLvl w:val="0"/>
        <w:rPr>
          <w:rFonts w:ascii="Arial" w:hAnsi="Arial" w:cs="Arial"/>
          <w:bCs/>
          <w:smallCaps/>
          <w:szCs w:val="22"/>
          <w:lang w:val="en-GB"/>
        </w:rPr>
      </w:pPr>
      <w:r w:rsidRPr="00FE258A">
        <w:rPr>
          <w:rFonts w:ascii="Arial" w:hAnsi="Arial" w:cs="Arial"/>
          <w:bCs/>
          <w:smallCaps/>
          <w:szCs w:val="22"/>
          <w:lang w:val="en-GB"/>
        </w:rPr>
        <w:t xml:space="preserve">Description of activities </w:t>
      </w:r>
    </w:p>
    <w:p w:rsidR="0006430D" w:rsidRPr="0092695A" w:rsidRDefault="0006430D" w:rsidP="0006430D">
      <w:pPr>
        <w:pStyle w:val="BodyText"/>
        <w:shd w:val="clear" w:color="auto" w:fill="BFBFBF" w:themeFill="background1" w:themeFillShade="BF"/>
        <w:outlineLvl w:val="0"/>
        <w:rPr>
          <w:rFonts w:ascii="Times New Roman" w:hAnsi="Times New Roman" w:cs="Times New Roman"/>
          <w:bCs/>
          <w:smallCaps/>
          <w:szCs w:val="22"/>
          <w:lang w:val="en-GB"/>
        </w:rPr>
      </w:pPr>
      <w:r w:rsidRPr="0092695A">
        <w:rPr>
          <w:rFonts w:ascii="Times New Roman" w:hAnsi="Times New Roman" w:cs="Times New Roman"/>
          <w:bCs/>
          <w:smallCaps/>
          <w:szCs w:val="22"/>
          <w:lang w:val="en-GB"/>
        </w:rPr>
        <w:t xml:space="preserve">Objective 1: </w:t>
      </w:r>
      <w:r w:rsidRPr="0092695A">
        <w:rPr>
          <w:rFonts w:ascii="Times New Roman" w:hAnsi="Times New Roman" w:cs="Times New Roman"/>
          <w:bCs/>
          <w:iCs/>
          <w:szCs w:val="22"/>
        </w:rPr>
        <w:t>To optimise overall institutional framework, enhance public service delivery and strengthen ethics</w:t>
      </w:r>
      <w:r w:rsidRPr="0092695A">
        <w:rPr>
          <w:rFonts w:ascii="Times New Roman" w:eastAsia="Times New Roman" w:hAnsi="Times New Roman" w:cs="Times New Roman"/>
          <w:iCs/>
          <w:szCs w:val="22"/>
        </w:rPr>
        <w:t>, integrity, transparency and accountability of public administration</w:t>
      </w:r>
    </w:p>
    <w:p w:rsidR="0006430D" w:rsidRPr="0092695A" w:rsidRDefault="0006430D" w:rsidP="0006430D">
      <w:pPr>
        <w:pStyle w:val="BodyText"/>
        <w:shd w:val="clear" w:color="auto" w:fill="BFBFBF" w:themeFill="background1" w:themeFillShade="BF"/>
        <w:spacing w:after="240"/>
        <w:outlineLvl w:val="0"/>
        <w:rPr>
          <w:rFonts w:ascii="Times New Roman" w:hAnsi="Times New Roman" w:cs="Times New Roman"/>
          <w:bCs/>
          <w:smallCaps/>
          <w:szCs w:val="22"/>
          <w:lang w:val="en-GB"/>
        </w:rPr>
      </w:pPr>
      <w:r w:rsidRPr="0092695A">
        <w:rPr>
          <w:rFonts w:ascii="Times New Roman" w:hAnsi="Times New Roman" w:cs="Times New Roman"/>
          <w:bCs/>
          <w:smallCaps/>
          <w:szCs w:val="22"/>
          <w:lang w:val="en-GB"/>
        </w:rPr>
        <w:t>(</w:t>
      </w:r>
      <w:r w:rsidR="00607482" w:rsidRPr="0092695A">
        <w:rPr>
          <w:rFonts w:ascii="Times New Roman" w:hAnsi="Times New Roman" w:cs="Times New Roman"/>
          <w:bCs/>
          <w:smallCaps/>
          <w:szCs w:val="22"/>
          <w:lang w:val="en-GB"/>
        </w:rPr>
        <w:t xml:space="preserve">Public </w:t>
      </w:r>
      <w:r w:rsidR="00384F91" w:rsidRPr="0092695A">
        <w:rPr>
          <w:rFonts w:ascii="Times New Roman" w:hAnsi="Times New Roman" w:cs="Times New Roman"/>
          <w:bCs/>
          <w:smallCaps/>
          <w:szCs w:val="22"/>
          <w:lang w:val="en-GB"/>
        </w:rPr>
        <w:t>administration</w:t>
      </w:r>
      <w:r w:rsidR="00607482" w:rsidRPr="0092695A">
        <w:rPr>
          <w:rFonts w:ascii="Times New Roman" w:hAnsi="Times New Roman" w:cs="Times New Roman"/>
          <w:bCs/>
          <w:smallCaps/>
          <w:szCs w:val="22"/>
          <w:lang w:val="en-GB"/>
        </w:rPr>
        <w:t xml:space="preserve"> Reform</w:t>
      </w:r>
      <w:r w:rsidRPr="0092695A">
        <w:rPr>
          <w:rFonts w:ascii="Times New Roman" w:hAnsi="Times New Roman" w:cs="Times New Roman"/>
          <w:bCs/>
          <w:smallCaps/>
          <w:szCs w:val="22"/>
          <w:lang w:val="en-GB"/>
        </w:rPr>
        <w:t>)</w:t>
      </w:r>
    </w:p>
    <w:p w:rsidR="00296FBD" w:rsidRPr="0092695A" w:rsidRDefault="0092695A">
      <w:pPr>
        <w:pStyle w:val="ActionDocument"/>
        <w:rPr>
          <w:b/>
        </w:rPr>
      </w:pPr>
      <w:r w:rsidRPr="0092695A">
        <w:rPr>
          <w:b/>
          <w:bCs/>
          <w:iCs/>
        </w:rPr>
        <w:t>Result 1.1 – Streamlined and optimised institutional framework</w:t>
      </w:r>
      <w:r w:rsidRPr="0092695A">
        <w:rPr>
          <w:b/>
        </w:rPr>
        <w:t xml:space="preserve"> / </w:t>
      </w:r>
      <w:r w:rsidR="006031A3" w:rsidRPr="0092695A">
        <w:rPr>
          <w:b/>
        </w:rPr>
        <w:t>Activity</w:t>
      </w:r>
      <w:r w:rsidR="00354E9F" w:rsidRPr="0092695A">
        <w:rPr>
          <w:b/>
        </w:rPr>
        <w:t xml:space="preserve"> 1.1</w:t>
      </w:r>
      <w:r w:rsidR="005E4C45" w:rsidRPr="0092695A">
        <w:rPr>
          <w:b/>
        </w:rPr>
        <w:t xml:space="preserve"> –</w:t>
      </w:r>
      <w:r w:rsidR="007464C0" w:rsidRPr="0092695A">
        <w:rPr>
          <w:b/>
        </w:rPr>
        <w:t xml:space="preserve"> Strengthening </w:t>
      </w:r>
      <w:r w:rsidR="006031A3" w:rsidRPr="0092695A">
        <w:rPr>
          <w:b/>
        </w:rPr>
        <w:t>of the</w:t>
      </w:r>
      <w:r w:rsidR="00354E9F" w:rsidRPr="0092695A">
        <w:rPr>
          <w:b/>
        </w:rPr>
        <w:t xml:space="preserve"> institutional framework</w:t>
      </w:r>
    </w:p>
    <w:p w:rsidR="00252DA0" w:rsidRPr="0092695A" w:rsidRDefault="005E4C45">
      <w:pPr>
        <w:pStyle w:val="ActionDocument"/>
        <w:ind w:left="360"/>
      </w:pPr>
      <w:r w:rsidRPr="0092695A">
        <w:t>This activityinvolves:</w:t>
      </w:r>
    </w:p>
    <w:p w:rsidR="00252DA0" w:rsidRPr="0092695A" w:rsidRDefault="005E4C45" w:rsidP="00BB11DD">
      <w:pPr>
        <w:pStyle w:val="ActionDocument"/>
        <w:numPr>
          <w:ilvl w:val="0"/>
          <w:numId w:val="59"/>
        </w:numPr>
        <w:rPr>
          <w:lang w:eastAsia="en-GB"/>
        </w:rPr>
      </w:pPr>
      <w:r w:rsidRPr="0092695A">
        <w:rPr>
          <w:lang w:eastAsia="en-GB"/>
        </w:rPr>
        <w:t>Conducting of a comprehensive functional analysis of the state bodies and inspection services that are currently operational and in place. The functional analysis will have to provide recommendations for adjustments in view of a more coherent and consistent institutional setting</w:t>
      </w:r>
      <w:r w:rsidR="0070336C" w:rsidRPr="0092695A">
        <w:rPr>
          <w:lang w:eastAsia="en-GB"/>
        </w:rPr>
        <w:t xml:space="preserve"> that ensures appropriate accountability and reporting lines</w:t>
      </w:r>
      <w:r w:rsidRPr="0092695A">
        <w:rPr>
          <w:lang w:eastAsia="en-GB"/>
        </w:rPr>
        <w:t>.</w:t>
      </w:r>
    </w:p>
    <w:p w:rsidR="00252DA0" w:rsidRPr="0092695A" w:rsidRDefault="005E4C45" w:rsidP="00BB11DD">
      <w:pPr>
        <w:pStyle w:val="ActionDocument"/>
        <w:numPr>
          <w:ilvl w:val="0"/>
          <w:numId w:val="59"/>
        </w:numPr>
        <w:rPr>
          <w:lang w:eastAsia="en-GB"/>
        </w:rPr>
      </w:pPr>
      <w:r w:rsidRPr="0092695A">
        <w:rPr>
          <w:lang w:eastAsia="en-GB"/>
        </w:rPr>
        <w:t>Preparation of new legislation and amendments of the existing laws following the recommendations of the functional analysis</w:t>
      </w:r>
      <w:r w:rsidR="00BB11DD" w:rsidRPr="0092695A">
        <w:rPr>
          <w:lang w:eastAsia="en-GB"/>
        </w:rPr>
        <w:t xml:space="preserve"> to create the legal basis for the administrative and institutional optimisation.</w:t>
      </w:r>
    </w:p>
    <w:p w:rsidR="00252DA0" w:rsidRPr="0092695A" w:rsidRDefault="00BB11DD" w:rsidP="001C1C90">
      <w:pPr>
        <w:pStyle w:val="ActionDocument"/>
        <w:numPr>
          <w:ilvl w:val="0"/>
          <w:numId w:val="59"/>
        </w:numPr>
        <w:rPr>
          <w:lang w:eastAsia="en-GB"/>
        </w:rPr>
      </w:pPr>
      <w:r w:rsidRPr="0092695A">
        <w:rPr>
          <w:lang w:eastAsia="en-GB"/>
        </w:rPr>
        <w:t xml:space="preserve">Reorganization </w:t>
      </w:r>
      <w:r w:rsidR="005E4C45" w:rsidRPr="0092695A">
        <w:rPr>
          <w:lang w:eastAsia="en-GB"/>
        </w:rPr>
        <w:t xml:space="preserve">of the administrative bodies </w:t>
      </w:r>
      <w:r w:rsidR="007464C0" w:rsidRPr="0092695A">
        <w:rPr>
          <w:lang w:eastAsia="en-GB"/>
        </w:rPr>
        <w:t xml:space="preserve">and inspection services </w:t>
      </w:r>
      <w:r w:rsidR="005E4C45" w:rsidRPr="0092695A">
        <w:rPr>
          <w:lang w:eastAsia="en-GB"/>
        </w:rPr>
        <w:t>following the recommendations of the functional analysis</w:t>
      </w:r>
      <w:r w:rsidRPr="0092695A">
        <w:rPr>
          <w:lang w:eastAsia="en-GB"/>
        </w:rPr>
        <w:t xml:space="preserve"> and in line with the newly adopted legislation. Technical assistance will be provided to ensure coaching and advisory support to </w:t>
      </w:r>
      <w:r w:rsidR="007464C0" w:rsidRPr="0092695A">
        <w:rPr>
          <w:lang w:eastAsia="en-GB"/>
        </w:rPr>
        <w:t>the policy-making, management and the operational levels</w:t>
      </w:r>
      <w:r w:rsidRPr="0092695A">
        <w:rPr>
          <w:lang w:eastAsia="en-GB"/>
        </w:rPr>
        <w:t xml:space="preserve"> in this process</w:t>
      </w:r>
      <w:r w:rsidR="001C1C90" w:rsidRPr="0092695A">
        <w:rPr>
          <w:lang w:eastAsia="en-GB"/>
        </w:rPr>
        <w:t xml:space="preserve">. </w:t>
      </w:r>
      <w:r w:rsidR="002E1587" w:rsidRPr="0092695A">
        <w:rPr>
          <w:lang w:eastAsia="en-GB"/>
        </w:rPr>
        <w:t>To ensure transparency of the process, an on-line tracing tool will be established, which will allow citizens to follow</w:t>
      </w:r>
      <w:r w:rsidR="007464C0" w:rsidRPr="0092695A">
        <w:rPr>
          <w:lang w:eastAsia="en-GB"/>
        </w:rPr>
        <w:t xml:space="preserve"> the improvements in the institutional </w:t>
      </w:r>
      <w:r w:rsidR="002E1587" w:rsidRPr="0092695A">
        <w:rPr>
          <w:lang w:eastAsia="en-GB"/>
        </w:rPr>
        <w:t>re-</w:t>
      </w:r>
      <w:r w:rsidR="007464C0" w:rsidRPr="0092695A">
        <w:rPr>
          <w:lang w:eastAsia="en-GB"/>
        </w:rPr>
        <w:t>organisation</w:t>
      </w:r>
      <w:r w:rsidR="00C1546A">
        <w:rPr>
          <w:lang w:eastAsia="en-GB"/>
        </w:rPr>
        <w:t>.</w:t>
      </w:r>
    </w:p>
    <w:p w:rsidR="001C1C90" w:rsidRPr="0092695A" w:rsidRDefault="001C1C90" w:rsidP="001C1C90">
      <w:pPr>
        <w:pStyle w:val="ActionDocument"/>
        <w:numPr>
          <w:ilvl w:val="0"/>
          <w:numId w:val="59"/>
        </w:numPr>
        <w:spacing w:after="0"/>
        <w:rPr>
          <w:lang w:eastAsia="en-GB"/>
        </w:rPr>
      </w:pPr>
      <w:r w:rsidRPr="0092695A">
        <w:rPr>
          <w:lang w:eastAsia="en-GB"/>
        </w:rPr>
        <w:t>Revision of the framework of discretionary powers, assessment of the control levels and formulation of proposals for enhancing control systems, including legal modifications. Support will be provided to a set of public bodies to help developing the relevant procedures for exercising discretionary powers, which are thus integrated into the institutional system of procedures and become subject to internal audit and control.</w:t>
      </w:r>
    </w:p>
    <w:p w:rsidR="001E245E" w:rsidRPr="0092695A" w:rsidRDefault="001E245E" w:rsidP="002E1587">
      <w:pPr>
        <w:pStyle w:val="ActionDocument"/>
        <w:spacing w:before="0" w:after="0"/>
        <w:ind w:left="720"/>
        <w:rPr>
          <w:lang w:eastAsia="en-GB"/>
        </w:rPr>
      </w:pPr>
    </w:p>
    <w:p w:rsidR="00252DA0" w:rsidRPr="0092695A" w:rsidRDefault="007677CF" w:rsidP="002E1587">
      <w:pPr>
        <w:pStyle w:val="ActionDocument"/>
        <w:spacing w:before="0" w:after="0"/>
        <w:ind w:left="720"/>
        <w:rPr>
          <w:lang w:eastAsia="en-GB"/>
        </w:rPr>
      </w:pPr>
      <w:r w:rsidRPr="0092695A">
        <w:rPr>
          <w:lang w:eastAsia="en-GB"/>
        </w:rPr>
        <w:t>Th</w:t>
      </w:r>
      <w:r w:rsidR="006031A3" w:rsidRPr="0092695A">
        <w:rPr>
          <w:lang w:eastAsia="en-GB"/>
        </w:rPr>
        <w:t xml:space="preserve">is </w:t>
      </w:r>
      <w:r w:rsidRPr="0092695A">
        <w:rPr>
          <w:lang w:eastAsia="en-GB"/>
        </w:rPr>
        <w:t>activit</w:t>
      </w:r>
      <w:r w:rsidR="006031A3" w:rsidRPr="0092695A">
        <w:rPr>
          <w:lang w:eastAsia="en-GB"/>
        </w:rPr>
        <w:t>y w</w:t>
      </w:r>
      <w:r w:rsidR="005E4C45" w:rsidRPr="0092695A">
        <w:rPr>
          <w:lang w:eastAsia="en-GB"/>
        </w:rPr>
        <w:t>ill be managed by the Ministry of Information Society and Administration</w:t>
      </w:r>
      <w:r w:rsidR="007464C0" w:rsidRPr="0092695A">
        <w:rPr>
          <w:lang w:eastAsia="en-GB"/>
        </w:rPr>
        <w:t xml:space="preserve"> (MISA)</w:t>
      </w:r>
      <w:r w:rsidR="005E4C45" w:rsidRPr="0092695A">
        <w:rPr>
          <w:lang w:eastAsia="en-GB"/>
        </w:rPr>
        <w:t xml:space="preserve"> but will in practice involve all central bodies and the inspection services.</w:t>
      </w:r>
    </w:p>
    <w:p w:rsidR="00296FBD" w:rsidRPr="0092695A" w:rsidRDefault="0092695A" w:rsidP="0092695A">
      <w:pPr>
        <w:pStyle w:val="ActionDocument"/>
        <w:spacing w:before="240"/>
        <w:rPr>
          <w:b/>
          <w:bCs/>
          <w:iCs/>
        </w:rPr>
      </w:pPr>
      <w:r w:rsidRPr="0092695A">
        <w:rPr>
          <w:b/>
          <w:bCs/>
          <w:iCs/>
        </w:rPr>
        <w:t xml:space="preserve">Result 1.2 - Strengthened systems ensuring transparency, integrity and ethics in the public institutions/ </w:t>
      </w:r>
      <w:r w:rsidR="00296FBD" w:rsidRPr="0092695A">
        <w:rPr>
          <w:b/>
        </w:rPr>
        <w:t xml:space="preserve">Activity 1.2 </w:t>
      </w:r>
      <w:r w:rsidR="0002225D" w:rsidRPr="0092695A">
        <w:rPr>
          <w:b/>
          <w:bCs/>
          <w:iCs/>
        </w:rPr>
        <w:t xml:space="preserve">- </w:t>
      </w:r>
      <w:r w:rsidR="002E1587" w:rsidRPr="0092695A">
        <w:rPr>
          <w:b/>
          <w:bCs/>
          <w:iCs/>
        </w:rPr>
        <w:t>Strengthening key</w:t>
      </w:r>
      <w:r w:rsidR="00296FBD" w:rsidRPr="0092695A">
        <w:rPr>
          <w:b/>
          <w:bCs/>
          <w:iCs/>
        </w:rPr>
        <w:t xml:space="preserve"> systems</w:t>
      </w:r>
      <w:r w:rsidR="002E1587" w:rsidRPr="0092695A">
        <w:rPr>
          <w:b/>
          <w:bCs/>
          <w:iCs/>
        </w:rPr>
        <w:t>, functions and institutes linked to the</w:t>
      </w:r>
      <w:r w:rsidR="00296FBD" w:rsidRPr="0092695A">
        <w:rPr>
          <w:b/>
          <w:bCs/>
          <w:iCs/>
        </w:rPr>
        <w:t xml:space="preserve"> transparency, integrity and ethics in the public institutions  </w:t>
      </w:r>
    </w:p>
    <w:p w:rsidR="00252DA0" w:rsidRPr="0092695A" w:rsidRDefault="005E4C45">
      <w:pPr>
        <w:pStyle w:val="ActionDocument"/>
        <w:ind w:left="360"/>
      </w:pPr>
      <w:r w:rsidRPr="0092695A">
        <w:t>Th</w:t>
      </w:r>
      <w:r w:rsidR="007677CF" w:rsidRPr="0092695A">
        <w:t xml:space="preserve">e </w:t>
      </w:r>
      <w:r w:rsidR="003E79E0" w:rsidRPr="0092695A">
        <w:t>activity</w:t>
      </w:r>
      <w:r w:rsidRPr="0092695A">
        <w:t>includes</w:t>
      </w:r>
      <w:r w:rsidR="007677CF" w:rsidRPr="0092695A">
        <w:t xml:space="preserve"> the following</w:t>
      </w:r>
      <w:r w:rsidRPr="0092695A">
        <w:t>:</w:t>
      </w:r>
    </w:p>
    <w:p w:rsidR="007D1E81" w:rsidRPr="0092695A" w:rsidRDefault="003E79E0" w:rsidP="002964D5">
      <w:pPr>
        <w:pStyle w:val="CommentText"/>
        <w:numPr>
          <w:ilvl w:val="0"/>
          <w:numId w:val="83"/>
        </w:numPr>
        <w:autoSpaceDE w:val="0"/>
        <w:autoSpaceDN w:val="0"/>
        <w:adjustRightInd w:val="0"/>
        <w:spacing w:after="0"/>
        <w:rPr>
          <w:rFonts w:ascii="Times New Roman" w:hAnsi="Times New Roman" w:cs="Times New Roman"/>
          <w:sz w:val="22"/>
          <w:szCs w:val="22"/>
        </w:rPr>
      </w:pPr>
      <w:r w:rsidRPr="0092695A">
        <w:rPr>
          <w:rFonts w:ascii="Times New Roman" w:hAnsi="Times New Roman" w:cs="Times New Roman"/>
          <w:sz w:val="22"/>
          <w:szCs w:val="22"/>
          <w:lang w:eastAsia="en-GB"/>
        </w:rPr>
        <w:t>Strengthening the institutional capacity of</w:t>
      </w:r>
      <w:r w:rsidR="005E4C45" w:rsidRPr="0092695A">
        <w:rPr>
          <w:rFonts w:ascii="Times New Roman" w:hAnsi="Times New Roman" w:cs="Times New Roman"/>
          <w:sz w:val="22"/>
          <w:szCs w:val="22"/>
          <w:lang w:eastAsia="en-GB"/>
        </w:rPr>
        <w:t xml:space="preserve"> the </w:t>
      </w:r>
      <w:r w:rsidR="005E4C45" w:rsidRPr="0092695A">
        <w:rPr>
          <w:rFonts w:ascii="Times New Roman" w:hAnsi="Times New Roman" w:cs="Times New Roman"/>
          <w:sz w:val="22"/>
          <w:szCs w:val="22"/>
        </w:rPr>
        <w:t>State Commission for Prevention of Corruption (SCPC)to implement their responsibilities</w:t>
      </w:r>
      <w:r w:rsidR="002964D5" w:rsidRPr="0092695A">
        <w:rPr>
          <w:rFonts w:ascii="Times New Roman" w:hAnsi="Times New Roman" w:cs="Times New Roman"/>
          <w:sz w:val="22"/>
          <w:szCs w:val="22"/>
        </w:rPr>
        <w:t xml:space="preserve"> in line with the State Programme for Prevention of Corruption and Conflict of Interest. Focus will be put on developing and applying an appropriate risk assessment methodology and on supporting the Commission in monitoring the risks related to integrity, namely risks of corruption and conflict of interest, </w:t>
      </w:r>
      <w:r w:rsidR="007D1E81" w:rsidRPr="0092695A">
        <w:rPr>
          <w:rFonts w:ascii="Times New Roman" w:hAnsi="Times New Roman" w:cs="Times New Roman"/>
          <w:sz w:val="22"/>
          <w:szCs w:val="22"/>
        </w:rPr>
        <w:t xml:space="preserve">as well as on intensifying the </w:t>
      </w:r>
      <w:r w:rsidR="002964D5" w:rsidRPr="0092695A">
        <w:rPr>
          <w:rFonts w:ascii="Times New Roman" w:hAnsi="Times New Roman" w:cs="Times New Roman"/>
          <w:sz w:val="22"/>
          <w:szCs w:val="22"/>
        </w:rPr>
        <w:t>coordination</w:t>
      </w:r>
      <w:r w:rsidR="007D1E81" w:rsidRPr="0092695A">
        <w:rPr>
          <w:rFonts w:ascii="Times New Roman" w:hAnsi="Times New Roman" w:cs="Times New Roman"/>
          <w:sz w:val="22"/>
          <w:szCs w:val="22"/>
        </w:rPr>
        <w:t xml:space="preserve"> efforts of the Commission and the relevant</w:t>
      </w:r>
      <w:r w:rsidR="002964D5" w:rsidRPr="0092695A">
        <w:rPr>
          <w:rFonts w:ascii="Times New Roman" w:hAnsi="Times New Roman" w:cs="Times New Roman"/>
          <w:sz w:val="22"/>
          <w:szCs w:val="22"/>
        </w:rPr>
        <w:t xml:space="preserve"> state bodies</w:t>
      </w:r>
      <w:r w:rsidR="007D1E81" w:rsidRPr="0092695A">
        <w:rPr>
          <w:rFonts w:ascii="Times New Roman" w:hAnsi="Times New Roman" w:cs="Times New Roman"/>
          <w:sz w:val="22"/>
          <w:szCs w:val="22"/>
        </w:rPr>
        <w:t xml:space="preserve"> in introducing integrity concepts in the public administration. </w:t>
      </w:r>
    </w:p>
    <w:p w:rsidR="007D1E81" w:rsidRPr="0092695A" w:rsidRDefault="00DE3FFC" w:rsidP="007D1E81">
      <w:pPr>
        <w:pStyle w:val="CommentText"/>
        <w:numPr>
          <w:ilvl w:val="0"/>
          <w:numId w:val="83"/>
        </w:numPr>
        <w:rPr>
          <w:rFonts w:ascii="Times New Roman" w:hAnsi="Times New Roman" w:cs="Times New Roman"/>
          <w:sz w:val="22"/>
          <w:szCs w:val="22"/>
        </w:rPr>
      </w:pPr>
      <w:r w:rsidRPr="0092695A">
        <w:rPr>
          <w:rFonts w:ascii="Times New Roman" w:hAnsi="Times New Roman" w:cs="Times New Roman"/>
          <w:sz w:val="22"/>
          <w:szCs w:val="22"/>
        </w:rPr>
        <w:t xml:space="preserve">Piloting of introduction of integrity concepts in 3 administrative bodies, where the risks of corruption is assessed as higher, in an inclusive manner involving </w:t>
      </w:r>
      <w:r w:rsidR="007D1E81" w:rsidRPr="0092695A">
        <w:rPr>
          <w:rFonts w:ascii="Times New Roman" w:hAnsi="Times New Roman" w:cs="Times New Roman"/>
          <w:sz w:val="22"/>
          <w:szCs w:val="22"/>
        </w:rPr>
        <w:t xml:space="preserve">introduction of corruption risk assessment and management, </w:t>
      </w:r>
      <w:r w:rsidRPr="0092695A">
        <w:rPr>
          <w:rFonts w:ascii="Times New Roman" w:hAnsi="Times New Roman" w:cs="Times New Roman"/>
          <w:sz w:val="22"/>
          <w:szCs w:val="22"/>
        </w:rPr>
        <w:t>along withstrengthening</w:t>
      </w:r>
      <w:r w:rsidR="007D1E81" w:rsidRPr="0092695A">
        <w:rPr>
          <w:rFonts w:ascii="Times New Roman" w:hAnsi="Times New Roman" w:cs="Times New Roman"/>
          <w:sz w:val="22"/>
          <w:szCs w:val="22"/>
        </w:rPr>
        <w:t xml:space="preserve"> internal control </w:t>
      </w:r>
      <w:r w:rsidRPr="0092695A">
        <w:rPr>
          <w:rFonts w:ascii="Times New Roman" w:hAnsi="Times New Roman" w:cs="Times New Roman"/>
          <w:sz w:val="22"/>
          <w:szCs w:val="22"/>
        </w:rPr>
        <w:t>environment</w:t>
      </w:r>
      <w:r w:rsidR="007D1E81" w:rsidRPr="0092695A">
        <w:rPr>
          <w:rFonts w:ascii="Times New Roman" w:hAnsi="Times New Roman" w:cs="Times New Roman"/>
          <w:sz w:val="22"/>
          <w:szCs w:val="22"/>
        </w:rPr>
        <w:t xml:space="preserve">, introduction of tailored codes of ethics and their enforcement, establishment of integrity manager roles and internal channels of communication </w:t>
      </w:r>
      <w:r w:rsidRPr="0092695A">
        <w:rPr>
          <w:rFonts w:ascii="Times New Roman" w:hAnsi="Times New Roman" w:cs="Times New Roman"/>
          <w:sz w:val="22"/>
          <w:szCs w:val="22"/>
        </w:rPr>
        <w:t xml:space="preserve">and reporting </w:t>
      </w:r>
      <w:r w:rsidR="007D1E81" w:rsidRPr="0092695A">
        <w:rPr>
          <w:rFonts w:ascii="Times New Roman" w:hAnsi="Times New Roman" w:cs="Times New Roman"/>
          <w:sz w:val="22"/>
          <w:szCs w:val="22"/>
        </w:rPr>
        <w:t>on integrity issues and corruption</w:t>
      </w:r>
      <w:r w:rsidRPr="0092695A">
        <w:rPr>
          <w:rFonts w:ascii="Times New Roman" w:hAnsi="Times New Roman" w:cs="Times New Roman"/>
          <w:sz w:val="22"/>
          <w:szCs w:val="22"/>
        </w:rPr>
        <w:t>, nurturing w</w:t>
      </w:r>
      <w:r w:rsidR="007D1E81" w:rsidRPr="0092695A">
        <w:rPr>
          <w:rFonts w:ascii="Times New Roman" w:hAnsi="Times New Roman" w:cs="Times New Roman"/>
          <w:sz w:val="22"/>
          <w:szCs w:val="22"/>
        </w:rPr>
        <w:t>histleblowing</w:t>
      </w:r>
      <w:r w:rsidRPr="0092695A">
        <w:rPr>
          <w:rFonts w:ascii="Times New Roman" w:hAnsi="Times New Roman" w:cs="Times New Roman"/>
          <w:sz w:val="22"/>
          <w:szCs w:val="22"/>
        </w:rPr>
        <w:t xml:space="preserve"> culture</w:t>
      </w:r>
      <w:r w:rsidR="007D1E81" w:rsidRPr="0092695A">
        <w:rPr>
          <w:rFonts w:ascii="Times New Roman" w:hAnsi="Times New Roman" w:cs="Times New Roman"/>
          <w:sz w:val="22"/>
          <w:szCs w:val="22"/>
        </w:rPr>
        <w:t xml:space="preserve">, </w:t>
      </w:r>
      <w:r w:rsidRPr="0092695A">
        <w:rPr>
          <w:rFonts w:ascii="Times New Roman" w:hAnsi="Times New Roman" w:cs="Times New Roman"/>
          <w:sz w:val="22"/>
          <w:szCs w:val="22"/>
        </w:rPr>
        <w:t xml:space="preserve">introducing regular </w:t>
      </w:r>
      <w:r w:rsidR="007D1E81" w:rsidRPr="0092695A">
        <w:rPr>
          <w:rFonts w:ascii="Times New Roman" w:hAnsi="Times New Roman" w:cs="Times New Roman"/>
          <w:sz w:val="22"/>
          <w:szCs w:val="22"/>
        </w:rPr>
        <w:t xml:space="preserve">training programme on integrity. </w:t>
      </w:r>
      <w:r w:rsidRPr="0092695A">
        <w:rPr>
          <w:rFonts w:ascii="Times New Roman" w:hAnsi="Times New Roman" w:cs="Times New Roman"/>
          <w:sz w:val="22"/>
          <w:szCs w:val="22"/>
        </w:rPr>
        <w:t>Evaluation of the results and promoting of the model across the public administration.</w:t>
      </w:r>
    </w:p>
    <w:p w:rsidR="002964D5" w:rsidRPr="0092695A" w:rsidRDefault="002964D5" w:rsidP="002964D5">
      <w:pPr>
        <w:pStyle w:val="CommentText"/>
        <w:numPr>
          <w:ilvl w:val="0"/>
          <w:numId w:val="83"/>
        </w:numPr>
        <w:autoSpaceDE w:val="0"/>
        <w:autoSpaceDN w:val="0"/>
        <w:adjustRightInd w:val="0"/>
        <w:spacing w:after="0"/>
        <w:rPr>
          <w:rFonts w:ascii="Times New Roman" w:hAnsi="Times New Roman" w:cs="Times New Roman"/>
          <w:sz w:val="22"/>
          <w:szCs w:val="22"/>
          <w:lang w:eastAsia="en-GB"/>
        </w:rPr>
      </w:pPr>
      <w:r w:rsidRPr="0092695A">
        <w:rPr>
          <w:rFonts w:ascii="Times New Roman" w:hAnsi="Times New Roman" w:cs="Times New Roman"/>
          <w:sz w:val="22"/>
          <w:szCs w:val="22"/>
          <w:lang w:eastAsia="en-GB"/>
        </w:rPr>
        <w:t>S</w:t>
      </w:r>
      <w:r w:rsidR="005E4C45" w:rsidRPr="0092695A">
        <w:rPr>
          <w:rFonts w:ascii="Times New Roman" w:hAnsi="Times New Roman" w:cs="Times New Roman"/>
          <w:sz w:val="22"/>
          <w:szCs w:val="22"/>
          <w:lang w:eastAsia="en-GB"/>
        </w:rPr>
        <w:t xml:space="preserve">upport in the </w:t>
      </w:r>
      <w:r w:rsidR="006E43BE" w:rsidRPr="0092695A">
        <w:rPr>
          <w:rFonts w:ascii="Times New Roman" w:hAnsi="Times New Roman" w:cs="Times New Roman"/>
          <w:sz w:val="22"/>
          <w:szCs w:val="22"/>
          <w:lang w:eastAsia="en-GB"/>
        </w:rPr>
        <w:t xml:space="preserve">full </w:t>
      </w:r>
      <w:r w:rsidR="005E4C45" w:rsidRPr="0092695A">
        <w:rPr>
          <w:rFonts w:ascii="Times New Roman" w:hAnsi="Times New Roman" w:cs="Times New Roman"/>
          <w:sz w:val="22"/>
          <w:szCs w:val="22"/>
          <w:lang w:eastAsia="en-GB"/>
        </w:rPr>
        <w:t>implementation of the Law on protection of whistle</w:t>
      </w:r>
      <w:r w:rsidR="00D75A98" w:rsidRPr="0092695A">
        <w:rPr>
          <w:rFonts w:ascii="Times New Roman" w:hAnsi="Times New Roman" w:cs="Times New Roman"/>
          <w:sz w:val="22"/>
          <w:szCs w:val="22"/>
          <w:lang w:eastAsia="en-GB"/>
        </w:rPr>
        <w:t>-</w:t>
      </w:r>
      <w:r w:rsidR="005E4C45" w:rsidRPr="0092695A">
        <w:rPr>
          <w:rFonts w:ascii="Times New Roman" w:hAnsi="Times New Roman" w:cs="Times New Roman"/>
          <w:sz w:val="22"/>
          <w:szCs w:val="22"/>
          <w:lang w:eastAsia="en-GB"/>
        </w:rPr>
        <w:t>blowers by</w:t>
      </w:r>
      <w:r w:rsidR="003E79E0" w:rsidRPr="0092695A">
        <w:rPr>
          <w:rFonts w:ascii="Times New Roman" w:hAnsi="Times New Roman" w:cs="Times New Roman"/>
          <w:sz w:val="22"/>
          <w:szCs w:val="22"/>
          <w:lang w:eastAsia="en-GB"/>
        </w:rPr>
        <w:t xml:space="preserve"> identifyin</w:t>
      </w:r>
      <w:r w:rsidR="006E43BE" w:rsidRPr="0092695A">
        <w:rPr>
          <w:rFonts w:ascii="Times New Roman" w:hAnsi="Times New Roman" w:cs="Times New Roman"/>
          <w:sz w:val="22"/>
          <w:szCs w:val="22"/>
          <w:lang w:eastAsia="en-GB"/>
        </w:rPr>
        <w:t xml:space="preserve">g, </w:t>
      </w:r>
      <w:r w:rsidR="003E79E0" w:rsidRPr="0092695A">
        <w:rPr>
          <w:rFonts w:ascii="Times New Roman" w:hAnsi="Times New Roman" w:cs="Times New Roman"/>
          <w:sz w:val="22"/>
          <w:szCs w:val="22"/>
          <w:lang w:eastAsia="en-GB"/>
        </w:rPr>
        <w:t xml:space="preserve">introducing </w:t>
      </w:r>
      <w:r w:rsidR="006E43BE" w:rsidRPr="0092695A">
        <w:rPr>
          <w:rFonts w:ascii="Times New Roman" w:hAnsi="Times New Roman" w:cs="Times New Roman"/>
          <w:sz w:val="22"/>
          <w:szCs w:val="22"/>
          <w:lang w:eastAsia="en-GB"/>
        </w:rPr>
        <w:t xml:space="preserve">and promoting in practice workable protection </w:t>
      </w:r>
      <w:r w:rsidR="003E79E0" w:rsidRPr="0092695A">
        <w:rPr>
          <w:rFonts w:ascii="Times New Roman" w:hAnsi="Times New Roman" w:cs="Times New Roman"/>
          <w:sz w:val="22"/>
          <w:szCs w:val="22"/>
          <w:lang w:eastAsia="en-GB"/>
        </w:rPr>
        <w:t xml:space="preserve">mechanisms </w:t>
      </w:r>
      <w:r w:rsidR="006E43BE" w:rsidRPr="0092695A">
        <w:rPr>
          <w:rFonts w:ascii="Times New Roman" w:hAnsi="Times New Roman" w:cs="Times New Roman"/>
          <w:sz w:val="22"/>
          <w:szCs w:val="22"/>
          <w:lang w:eastAsia="en-GB"/>
        </w:rPr>
        <w:t>for</w:t>
      </w:r>
      <w:r w:rsidR="005E4C45" w:rsidRPr="0092695A">
        <w:rPr>
          <w:rFonts w:ascii="Times New Roman" w:hAnsi="Times New Roman" w:cs="Times New Roman"/>
          <w:sz w:val="22"/>
          <w:szCs w:val="22"/>
          <w:lang w:eastAsia="en-GB"/>
        </w:rPr>
        <w:t xml:space="preserve"> whistle</w:t>
      </w:r>
      <w:r w:rsidR="00D75A98" w:rsidRPr="0092695A">
        <w:rPr>
          <w:rFonts w:ascii="Times New Roman" w:hAnsi="Times New Roman" w:cs="Times New Roman"/>
          <w:sz w:val="22"/>
          <w:szCs w:val="22"/>
          <w:lang w:eastAsia="en-GB"/>
        </w:rPr>
        <w:t>-</w:t>
      </w:r>
      <w:r w:rsidR="005E4C45" w:rsidRPr="0092695A">
        <w:rPr>
          <w:rFonts w:ascii="Times New Roman" w:hAnsi="Times New Roman" w:cs="Times New Roman"/>
          <w:sz w:val="22"/>
          <w:szCs w:val="22"/>
          <w:lang w:eastAsia="en-GB"/>
        </w:rPr>
        <w:t>blowers</w:t>
      </w:r>
      <w:r w:rsidR="006E43BE" w:rsidRPr="0092695A">
        <w:rPr>
          <w:rFonts w:ascii="Times New Roman" w:hAnsi="Times New Roman" w:cs="Times New Roman"/>
          <w:sz w:val="22"/>
          <w:szCs w:val="22"/>
          <w:lang w:eastAsia="en-GB"/>
        </w:rPr>
        <w:t xml:space="preserve">in a number of pilot institutions (eg. from 3 to 5 institutions) </w:t>
      </w:r>
      <w:r w:rsidR="003E79E0" w:rsidRPr="0092695A">
        <w:rPr>
          <w:rFonts w:ascii="Times New Roman" w:hAnsi="Times New Roman" w:cs="Times New Roman"/>
          <w:sz w:val="22"/>
          <w:szCs w:val="22"/>
          <w:lang w:eastAsia="en-GB"/>
        </w:rPr>
        <w:t xml:space="preserve">while maintaining the balance of </w:t>
      </w:r>
      <w:r w:rsidR="00D75A98" w:rsidRPr="0092695A">
        <w:rPr>
          <w:rFonts w:ascii="Times New Roman" w:hAnsi="Times New Roman" w:cs="Times New Roman"/>
          <w:sz w:val="22"/>
          <w:szCs w:val="22"/>
          <w:lang w:eastAsia="en-GB"/>
        </w:rPr>
        <w:t xml:space="preserve">legitimate interests </w:t>
      </w:r>
      <w:r w:rsidR="003E79E0" w:rsidRPr="0092695A">
        <w:rPr>
          <w:rFonts w:ascii="Times New Roman" w:hAnsi="Times New Roman" w:cs="Times New Roman"/>
          <w:sz w:val="22"/>
          <w:szCs w:val="22"/>
          <w:lang w:eastAsia="en-GB"/>
        </w:rPr>
        <w:t>between whistle</w:t>
      </w:r>
      <w:r w:rsidR="00384F91" w:rsidRPr="0092695A">
        <w:rPr>
          <w:rFonts w:ascii="Times New Roman" w:hAnsi="Times New Roman" w:cs="Times New Roman"/>
          <w:sz w:val="22"/>
          <w:szCs w:val="22"/>
          <w:lang w:eastAsia="en-GB"/>
        </w:rPr>
        <w:t>-</w:t>
      </w:r>
      <w:r w:rsidR="003E79E0" w:rsidRPr="0092695A">
        <w:rPr>
          <w:rFonts w:ascii="Times New Roman" w:hAnsi="Times New Roman" w:cs="Times New Roman"/>
          <w:sz w:val="22"/>
          <w:szCs w:val="22"/>
          <w:lang w:eastAsia="en-GB"/>
        </w:rPr>
        <w:t xml:space="preserve">blowers and the </w:t>
      </w:r>
      <w:r w:rsidR="006E43BE" w:rsidRPr="0092695A">
        <w:rPr>
          <w:rFonts w:ascii="Times New Roman" w:hAnsi="Times New Roman" w:cs="Times New Roman"/>
          <w:sz w:val="22"/>
          <w:szCs w:val="22"/>
          <w:lang w:eastAsia="en-GB"/>
        </w:rPr>
        <w:t xml:space="preserve">respective </w:t>
      </w:r>
      <w:r w:rsidR="003E79E0" w:rsidRPr="0092695A">
        <w:rPr>
          <w:rFonts w:ascii="Times New Roman" w:hAnsi="Times New Roman" w:cs="Times New Roman"/>
          <w:sz w:val="22"/>
          <w:szCs w:val="22"/>
          <w:lang w:eastAsia="en-GB"/>
        </w:rPr>
        <w:t xml:space="preserve">institution. </w:t>
      </w:r>
      <w:r w:rsidR="006E43BE" w:rsidRPr="0092695A">
        <w:rPr>
          <w:rFonts w:ascii="Times New Roman" w:hAnsi="Times New Roman" w:cs="Times New Roman"/>
          <w:sz w:val="22"/>
          <w:szCs w:val="22"/>
          <w:lang w:eastAsia="en-GB"/>
        </w:rPr>
        <w:t>Particular attention will be paid to strengthening skills and capacities of the 5 institutions tasked with secondary protection of whistle</w:t>
      </w:r>
      <w:r w:rsidR="00384F91" w:rsidRPr="0092695A">
        <w:rPr>
          <w:rFonts w:ascii="Times New Roman" w:hAnsi="Times New Roman" w:cs="Times New Roman"/>
          <w:sz w:val="22"/>
          <w:szCs w:val="22"/>
          <w:lang w:eastAsia="en-GB"/>
        </w:rPr>
        <w:t>-</w:t>
      </w:r>
      <w:r w:rsidR="006E43BE" w:rsidRPr="0092695A">
        <w:rPr>
          <w:rFonts w:ascii="Times New Roman" w:hAnsi="Times New Roman" w:cs="Times New Roman"/>
          <w:sz w:val="22"/>
          <w:szCs w:val="22"/>
          <w:lang w:eastAsia="en-GB"/>
        </w:rPr>
        <w:t xml:space="preserve">blowers (SCPC, Inspection Council, Ombudsman Office, </w:t>
      </w:r>
      <w:r w:rsidR="00384F91" w:rsidRPr="0092695A">
        <w:rPr>
          <w:rFonts w:ascii="Times New Roman" w:hAnsi="Times New Roman" w:cs="Times New Roman"/>
          <w:sz w:val="22"/>
          <w:szCs w:val="22"/>
          <w:lang w:eastAsia="en-GB"/>
        </w:rPr>
        <w:t>Ministry of Interior</w:t>
      </w:r>
      <w:r w:rsidR="006E43BE" w:rsidRPr="0092695A">
        <w:rPr>
          <w:rFonts w:ascii="Times New Roman" w:hAnsi="Times New Roman" w:cs="Times New Roman"/>
          <w:sz w:val="22"/>
          <w:szCs w:val="22"/>
          <w:lang w:eastAsia="en-GB"/>
        </w:rPr>
        <w:t xml:space="preserve"> and </w:t>
      </w:r>
      <w:r w:rsidR="00384F91" w:rsidRPr="0092695A">
        <w:rPr>
          <w:rFonts w:ascii="Times New Roman" w:hAnsi="Times New Roman" w:cs="Times New Roman"/>
          <w:sz w:val="22"/>
          <w:szCs w:val="22"/>
          <w:lang w:eastAsia="en-GB"/>
        </w:rPr>
        <w:t>Public Prosecution Office</w:t>
      </w:r>
      <w:r w:rsidR="006E43BE" w:rsidRPr="0092695A">
        <w:rPr>
          <w:rFonts w:ascii="Times New Roman" w:hAnsi="Times New Roman" w:cs="Times New Roman"/>
          <w:sz w:val="22"/>
          <w:szCs w:val="22"/>
          <w:lang w:eastAsia="en-GB"/>
        </w:rPr>
        <w:t xml:space="preserve">). </w:t>
      </w:r>
      <w:r w:rsidR="005E4C45" w:rsidRPr="0092695A">
        <w:rPr>
          <w:rFonts w:ascii="Times New Roman" w:hAnsi="Times New Roman" w:cs="Times New Roman"/>
          <w:sz w:val="22"/>
          <w:szCs w:val="22"/>
          <w:lang w:eastAsia="en-GB"/>
        </w:rPr>
        <w:t>In addition</w:t>
      </w:r>
      <w:r w:rsidR="008E5C0F" w:rsidRPr="0092695A">
        <w:rPr>
          <w:rFonts w:ascii="Times New Roman" w:hAnsi="Times New Roman" w:cs="Times New Roman"/>
          <w:sz w:val="22"/>
          <w:szCs w:val="22"/>
          <w:lang w:eastAsia="en-GB"/>
        </w:rPr>
        <w:t>,</w:t>
      </w:r>
      <w:r w:rsidR="006E43BE" w:rsidRPr="0092695A">
        <w:rPr>
          <w:rFonts w:ascii="Times New Roman" w:hAnsi="Times New Roman" w:cs="Times New Roman"/>
          <w:sz w:val="22"/>
          <w:szCs w:val="22"/>
          <w:lang w:eastAsia="en-GB"/>
        </w:rPr>
        <w:t xml:space="preserve"> comprehensive</w:t>
      </w:r>
      <w:r w:rsidR="008E5C0F" w:rsidRPr="0092695A">
        <w:rPr>
          <w:rFonts w:ascii="Times New Roman" w:hAnsi="Times New Roman" w:cs="Times New Roman"/>
          <w:sz w:val="22"/>
          <w:szCs w:val="22"/>
          <w:lang w:eastAsia="en-GB"/>
        </w:rPr>
        <w:t xml:space="preserve">technical assistance and guidance will be provided </w:t>
      </w:r>
      <w:r w:rsidR="006E43BE" w:rsidRPr="0092695A">
        <w:rPr>
          <w:rFonts w:ascii="Times New Roman" w:hAnsi="Times New Roman" w:cs="Times New Roman"/>
          <w:sz w:val="22"/>
          <w:szCs w:val="22"/>
          <w:lang w:eastAsia="en-GB"/>
        </w:rPr>
        <w:t xml:space="preserve">onthe monitoring and evaluation </w:t>
      </w:r>
      <w:r w:rsidRPr="0092695A">
        <w:rPr>
          <w:rFonts w:ascii="Times New Roman" w:hAnsi="Times New Roman" w:cs="Times New Roman"/>
          <w:sz w:val="22"/>
          <w:szCs w:val="22"/>
          <w:lang w:eastAsia="en-GB"/>
        </w:rPr>
        <w:t>of</w:t>
      </w:r>
      <w:r w:rsidR="005E4C45" w:rsidRPr="0092695A">
        <w:rPr>
          <w:rFonts w:ascii="Times New Roman" w:hAnsi="Times New Roman" w:cs="Times New Roman"/>
          <w:sz w:val="22"/>
          <w:szCs w:val="22"/>
          <w:lang w:eastAsia="en-GB"/>
        </w:rPr>
        <w:t>the implementation of the law</w:t>
      </w:r>
      <w:r w:rsidR="006E43BE" w:rsidRPr="0092695A">
        <w:rPr>
          <w:rFonts w:ascii="Times New Roman" w:hAnsi="Times New Roman" w:cs="Times New Roman"/>
          <w:sz w:val="22"/>
          <w:szCs w:val="22"/>
          <w:lang w:eastAsia="en-GB"/>
        </w:rPr>
        <w:t>, on the promotion of the concept of whistle</w:t>
      </w:r>
      <w:r w:rsidRPr="0092695A">
        <w:rPr>
          <w:rFonts w:ascii="Times New Roman" w:hAnsi="Times New Roman" w:cs="Times New Roman"/>
          <w:sz w:val="22"/>
          <w:szCs w:val="22"/>
          <w:lang w:eastAsia="en-GB"/>
        </w:rPr>
        <w:t>-</w:t>
      </w:r>
      <w:r w:rsidR="006E43BE" w:rsidRPr="0092695A">
        <w:rPr>
          <w:rFonts w:ascii="Times New Roman" w:hAnsi="Times New Roman" w:cs="Times New Roman"/>
          <w:sz w:val="22"/>
          <w:szCs w:val="22"/>
          <w:lang w:eastAsia="en-GB"/>
        </w:rPr>
        <w:t xml:space="preserve">blowing among the public servants and in the wider public and on the implementation of 2016 Venice Commission recommendations related to the Law on the Protection of </w:t>
      </w:r>
      <w:r w:rsidR="00384F91" w:rsidRPr="0092695A">
        <w:rPr>
          <w:rFonts w:ascii="Times New Roman" w:hAnsi="Times New Roman" w:cs="Times New Roman"/>
          <w:sz w:val="22"/>
          <w:szCs w:val="22"/>
          <w:lang w:eastAsia="en-GB"/>
        </w:rPr>
        <w:t>Whistle-</w:t>
      </w:r>
      <w:r w:rsidR="006E43BE" w:rsidRPr="0092695A">
        <w:rPr>
          <w:rFonts w:ascii="Times New Roman" w:hAnsi="Times New Roman" w:cs="Times New Roman"/>
          <w:sz w:val="22"/>
          <w:szCs w:val="22"/>
          <w:lang w:eastAsia="en-GB"/>
        </w:rPr>
        <w:t xml:space="preserve">blowers. </w:t>
      </w:r>
      <w:r w:rsidRPr="0092695A">
        <w:rPr>
          <w:rFonts w:ascii="Times New Roman" w:hAnsi="Times New Roman" w:cs="Times New Roman"/>
          <w:sz w:val="22"/>
          <w:szCs w:val="22"/>
          <w:lang w:eastAsia="en-GB"/>
        </w:rPr>
        <w:t>The Action envisages as well s</w:t>
      </w:r>
      <w:r w:rsidR="005E4C45" w:rsidRPr="0092695A">
        <w:rPr>
          <w:rFonts w:ascii="Times New Roman" w:hAnsi="Times New Roman" w:cs="Times New Roman"/>
          <w:sz w:val="22"/>
          <w:szCs w:val="22"/>
          <w:lang w:eastAsia="en-GB"/>
        </w:rPr>
        <w:t>upport for changing the culture as regards whistle blowing by public discussions and regular training and awareness-raising activities for public administration and third parties, encouraging the introduction of open-door and grievance policy at institutions etc</w:t>
      </w:r>
      <w:r w:rsidR="008E5C0F" w:rsidRPr="0092695A">
        <w:rPr>
          <w:rFonts w:ascii="Times New Roman" w:hAnsi="Times New Roman" w:cs="Times New Roman"/>
          <w:sz w:val="22"/>
          <w:szCs w:val="22"/>
          <w:lang w:eastAsia="en-GB"/>
        </w:rPr>
        <w:t>.</w:t>
      </w:r>
      <w:r w:rsidR="005E4C45" w:rsidRPr="0092695A">
        <w:rPr>
          <w:rFonts w:ascii="Times New Roman" w:hAnsi="Times New Roman" w:cs="Times New Roman"/>
          <w:sz w:val="22"/>
          <w:szCs w:val="22"/>
          <w:lang w:eastAsia="en-GB"/>
        </w:rPr>
        <w:t>Support for pilot institutions wishing to develop strong whistle</w:t>
      </w:r>
      <w:r w:rsidR="00384F91" w:rsidRPr="0092695A">
        <w:rPr>
          <w:rFonts w:ascii="Times New Roman" w:hAnsi="Times New Roman" w:cs="Times New Roman"/>
          <w:sz w:val="22"/>
          <w:szCs w:val="22"/>
          <w:lang w:eastAsia="en-GB"/>
        </w:rPr>
        <w:t>-</w:t>
      </w:r>
      <w:r w:rsidR="005E4C45" w:rsidRPr="0092695A">
        <w:rPr>
          <w:rFonts w:ascii="Times New Roman" w:hAnsi="Times New Roman" w:cs="Times New Roman"/>
          <w:sz w:val="22"/>
          <w:szCs w:val="22"/>
          <w:lang w:eastAsia="en-GB"/>
        </w:rPr>
        <w:t xml:space="preserve">blowing policies </w:t>
      </w:r>
      <w:r w:rsidR="00AA1CE3" w:rsidRPr="0092695A">
        <w:rPr>
          <w:rFonts w:ascii="Times New Roman" w:hAnsi="Times New Roman" w:cs="Times New Roman"/>
          <w:sz w:val="22"/>
          <w:szCs w:val="22"/>
          <w:lang w:eastAsia="en-GB"/>
        </w:rPr>
        <w:t>by designing</w:t>
      </w:r>
      <w:r w:rsidR="00E60D98" w:rsidRPr="0092695A">
        <w:rPr>
          <w:rFonts w:ascii="Times New Roman" w:hAnsi="Times New Roman" w:cs="Times New Roman"/>
          <w:sz w:val="22"/>
          <w:szCs w:val="22"/>
          <w:lang w:eastAsia="en-GB"/>
        </w:rPr>
        <w:t xml:space="preserve"> and introducing</w:t>
      </w:r>
      <w:r w:rsidR="005E4C45" w:rsidRPr="0092695A">
        <w:rPr>
          <w:rFonts w:ascii="Times New Roman" w:eastAsia="Times New Roman" w:hAnsi="Times New Roman" w:cs="Times New Roman"/>
          <w:sz w:val="22"/>
          <w:szCs w:val="22"/>
          <w:lang w:eastAsia="en-GB"/>
        </w:rPr>
        <w:t>procedures for raising, handling and investigation of serious concerns</w:t>
      </w:r>
      <w:r w:rsidR="007D1E81" w:rsidRPr="0092695A">
        <w:rPr>
          <w:rFonts w:ascii="Times New Roman" w:eastAsia="Times New Roman" w:hAnsi="Times New Roman" w:cs="Times New Roman"/>
          <w:sz w:val="22"/>
          <w:szCs w:val="22"/>
          <w:lang w:eastAsia="en-GB"/>
        </w:rPr>
        <w:t xml:space="preserve"> is also envisaged.</w:t>
      </w:r>
    </w:p>
    <w:p w:rsidR="002964D5" w:rsidRPr="0092695A" w:rsidRDefault="005E4C45" w:rsidP="002964D5">
      <w:pPr>
        <w:pStyle w:val="CommentText"/>
        <w:numPr>
          <w:ilvl w:val="0"/>
          <w:numId w:val="83"/>
        </w:numPr>
        <w:autoSpaceDE w:val="0"/>
        <w:autoSpaceDN w:val="0"/>
        <w:adjustRightInd w:val="0"/>
        <w:spacing w:after="0"/>
        <w:rPr>
          <w:rFonts w:ascii="Times New Roman" w:hAnsi="Times New Roman" w:cs="Times New Roman"/>
          <w:sz w:val="22"/>
          <w:szCs w:val="22"/>
          <w:lang w:eastAsia="en-GB"/>
        </w:rPr>
      </w:pPr>
      <w:r w:rsidRPr="0092695A">
        <w:rPr>
          <w:rFonts w:ascii="Times New Roman" w:hAnsi="Times New Roman" w:cs="Times New Roman"/>
          <w:sz w:val="22"/>
          <w:szCs w:val="22"/>
          <w:lang w:eastAsia="en-GB"/>
        </w:rPr>
        <w:t xml:space="preserve">Establishment of </w:t>
      </w:r>
      <w:r w:rsidR="007D1E81" w:rsidRPr="0092695A">
        <w:rPr>
          <w:rFonts w:ascii="Times New Roman" w:hAnsi="Times New Roman" w:cs="Times New Roman"/>
          <w:sz w:val="22"/>
          <w:szCs w:val="22"/>
          <w:lang w:eastAsia="en-GB"/>
        </w:rPr>
        <w:t xml:space="preserve">a complete </w:t>
      </w:r>
      <w:r w:rsidRPr="0092695A">
        <w:rPr>
          <w:rFonts w:ascii="Times New Roman" w:hAnsi="Times New Roman" w:cs="Times New Roman"/>
          <w:sz w:val="22"/>
          <w:szCs w:val="22"/>
          <w:lang w:eastAsia="en-GB"/>
        </w:rPr>
        <w:t xml:space="preserve">e-learning training </w:t>
      </w:r>
      <w:r w:rsidR="00DE3FFC" w:rsidRPr="0092695A">
        <w:rPr>
          <w:rFonts w:ascii="Times New Roman" w:hAnsi="Times New Roman" w:cs="Times New Roman"/>
          <w:sz w:val="22"/>
          <w:szCs w:val="22"/>
          <w:lang w:eastAsia="en-GB"/>
        </w:rPr>
        <w:t xml:space="preserve">tool </w:t>
      </w:r>
      <w:r w:rsidRPr="0092695A">
        <w:rPr>
          <w:rFonts w:ascii="Times New Roman" w:hAnsi="Times New Roman" w:cs="Times New Roman"/>
          <w:sz w:val="22"/>
          <w:szCs w:val="22"/>
          <w:lang w:eastAsia="en-GB"/>
        </w:rPr>
        <w:t xml:space="preserve">on integrity, ethics and prevention of corruption and conflicts of interest and integrating </w:t>
      </w:r>
      <w:r w:rsidR="00610D0A" w:rsidRPr="0092695A">
        <w:rPr>
          <w:rFonts w:ascii="Times New Roman" w:hAnsi="Times New Roman" w:cs="Times New Roman"/>
          <w:sz w:val="22"/>
          <w:szCs w:val="22"/>
          <w:lang w:eastAsia="en-GB"/>
        </w:rPr>
        <w:t xml:space="preserve">them </w:t>
      </w:r>
      <w:r w:rsidRPr="0092695A">
        <w:rPr>
          <w:rFonts w:ascii="Times New Roman" w:hAnsi="Times New Roman" w:cs="Times New Roman"/>
          <w:sz w:val="22"/>
          <w:szCs w:val="22"/>
          <w:lang w:eastAsia="en-GB"/>
        </w:rPr>
        <w:t xml:space="preserve">in the regular training cycle for public servants. </w:t>
      </w:r>
      <w:r w:rsidR="00610D0A" w:rsidRPr="0092695A">
        <w:rPr>
          <w:rFonts w:ascii="Times New Roman" w:hAnsi="Times New Roman" w:cs="Times New Roman"/>
          <w:sz w:val="22"/>
          <w:szCs w:val="22"/>
          <w:lang w:eastAsia="en-GB"/>
        </w:rPr>
        <w:t>Further consolidation and development of the E-learning platform of the SCPC and its wide promotion among relevant target groups</w:t>
      </w:r>
      <w:r w:rsidR="000137D0" w:rsidRPr="0092695A">
        <w:rPr>
          <w:rFonts w:ascii="Times New Roman" w:hAnsi="Times New Roman" w:cs="Times New Roman"/>
          <w:sz w:val="22"/>
          <w:szCs w:val="22"/>
          <w:lang w:eastAsia="en-GB"/>
        </w:rPr>
        <w:t xml:space="preserve"> in order to increase its usage</w:t>
      </w:r>
      <w:r w:rsidR="00610D0A" w:rsidRPr="0092695A">
        <w:rPr>
          <w:rFonts w:ascii="Times New Roman" w:hAnsi="Times New Roman" w:cs="Times New Roman"/>
          <w:sz w:val="22"/>
          <w:szCs w:val="22"/>
          <w:lang w:eastAsia="en-GB"/>
        </w:rPr>
        <w:t>.</w:t>
      </w:r>
    </w:p>
    <w:p w:rsidR="002964D5" w:rsidRPr="0092695A" w:rsidRDefault="000137D0" w:rsidP="002964D5">
      <w:pPr>
        <w:pStyle w:val="CommentText"/>
        <w:numPr>
          <w:ilvl w:val="0"/>
          <w:numId w:val="83"/>
        </w:numPr>
        <w:autoSpaceDE w:val="0"/>
        <w:autoSpaceDN w:val="0"/>
        <w:adjustRightInd w:val="0"/>
        <w:spacing w:after="0"/>
        <w:rPr>
          <w:rFonts w:ascii="Times New Roman" w:hAnsi="Times New Roman" w:cs="Times New Roman"/>
          <w:sz w:val="22"/>
          <w:szCs w:val="22"/>
          <w:lang w:eastAsia="en-GB"/>
        </w:rPr>
      </w:pPr>
      <w:r w:rsidRPr="0092695A">
        <w:rPr>
          <w:rFonts w:ascii="Times New Roman" w:hAnsi="Times New Roman" w:cs="Times New Roman"/>
          <w:sz w:val="22"/>
          <w:szCs w:val="22"/>
          <w:lang w:eastAsia="en-GB"/>
        </w:rPr>
        <w:t xml:space="preserve">Developing and implementing </w:t>
      </w:r>
      <w:r w:rsidR="00610D0A" w:rsidRPr="0092695A">
        <w:rPr>
          <w:rFonts w:ascii="Times New Roman" w:hAnsi="Times New Roman" w:cs="Times New Roman"/>
          <w:sz w:val="22"/>
          <w:szCs w:val="22"/>
          <w:lang w:eastAsia="en-GB"/>
        </w:rPr>
        <w:t>tailor-made anti-corruption campaign</w:t>
      </w:r>
      <w:r w:rsidRPr="0092695A">
        <w:rPr>
          <w:rFonts w:ascii="Times New Roman" w:hAnsi="Times New Roman" w:cs="Times New Roman"/>
          <w:sz w:val="22"/>
          <w:szCs w:val="22"/>
          <w:lang w:eastAsia="en-GB"/>
        </w:rPr>
        <w:t>(s)</w:t>
      </w:r>
      <w:r w:rsidR="00610D0A" w:rsidRPr="0092695A">
        <w:rPr>
          <w:rFonts w:ascii="Times New Roman" w:hAnsi="Times New Roman" w:cs="Times New Roman"/>
          <w:sz w:val="22"/>
          <w:szCs w:val="22"/>
          <w:lang w:eastAsia="en-GB"/>
        </w:rPr>
        <w:t xml:space="preserve"> within the public administration, business community</w:t>
      </w:r>
      <w:r w:rsidR="00BC057B" w:rsidRPr="0092695A">
        <w:rPr>
          <w:rFonts w:ascii="Times New Roman" w:hAnsi="Times New Roman" w:cs="Times New Roman"/>
          <w:sz w:val="22"/>
          <w:szCs w:val="22"/>
          <w:lang w:eastAsia="en-GB"/>
        </w:rPr>
        <w:t>,</w:t>
      </w:r>
      <w:r w:rsidR="00610D0A" w:rsidRPr="0092695A">
        <w:rPr>
          <w:rFonts w:ascii="Times New Roman" w:hAnsi="Times New Roman" w:cs="Times New Roman"/>
          <w:sz w:val="22"/>
          <w:szCs w:val="22"/>
          <w:lang w:eastAsia="en-GB"/>
        </w:rPr>
        <w:t xml:space="preserve"> state owned companies </w:t>
      </w:r>
      <w:r w:rsidR="00BC057B" w:rsidRPr="0092695A">
        <w:rPr>
          <w:rFonts w:ascii="Times New Roman" w:hAnsi="Times New Roman" w:cs="Times New Roman"/>
          <w:sz w:val="22"/>
          <w:szCs w:val="22"/>
          <w:lang w:eastAsia="en-GB"/>
        </w:rPr>
        <w:t xml:space="preserve">and civil society </w:t>
      </w:r>
      <w:r w:rsidRPr="0092695A">
        <w:rPr>
          <w:rFonts w:ascii="Times New Roman" w:hAnsi="Times New Roman" w:cs="Times New Roman"/>
          <w:sz w:val="22"/>
          <w:szCs w:val="22"/>
          <w:lang w:eastAsia="en-GB"/>
        </w:rPr>
        <w:t xml:space="preserve">while </w:t>
      </w:r>
      <w:r w:rsidR="00610D0A" w:rsidRPr="0092695A">
        <w:rPr>
          <w:rFonts w:ascii="Times New Roman" w:hAnsi="Times New Roman" w:cs="Times New Roman"/>
          <w:sz w:val="22"/>
          <w:szCs w:val="22"/>
          <w:lang w:eastAsia="en-GB"/>
        </w:rPr>
        <w:t>r</w:t>
      </w:r>
      <w:r w:rsidR="005E4C45" w:rsidRPr="0092695A">
        <w:rPr>
          <w:rFonts w:ascii="Times New Roman" w:hAnsi="Times New Roman" w:cs="Times New Roman"/>
          <w:sz w:val="22"/>
          <w:szCs w:val="22"/>
          <w:lang w:eastAsia="en-GB"/>
        </w:rPr>
        <w:t xml:space="preserve">aising </w:t>
      </w:r>
      <w:r w:rsidR="00E60D98" w:rsidRPr="0092695A">
        <w:rPr>
          <w:rFonts w:ascii="Times New Roman" w:hAnsi="Times New Roman" w:cs="Times New Roman"/>
          <w:sz w:val="22"/>
          <w:szCs w:val="22"/>
          <w:lang w:eastAsia="en-GB"/>
        </w:rPr>
        <w:t>the</w:t>
      </w:r>
      <w:r w:rsidR="005E4C45" w:rsidRPr="0092695A">
        <w:rPr>
          <w:rFonts w:ascii="Times New Roman" w:hAnsi="Times New Roman" w:cs="Times New Roman"/>
          <w:sz w:val="22"/>
          <w:szCs w:val="22"/>
          <w:lang w:eastAsia="en-GB"/>
        </w:rPr>
        <w:t xml:space="preserve"> awareness of the importance of ethical conduct and integrity</w:t>
      </w:r>
      <w:r w:rsidR="00610D0A" w:rsidRPr="0092695A">
        <w:rPr>
          <w:rFonts w:ascii="Times New Roman" w:hAnsi="Times New Roman" w:cs="Times New Roman"/>
          <w:sz w:val="22"/>
          <w:szCs w:val="22"/>
          <w:lang w:eastAsia="en-GB"/>
        </w:rPr>
        <w:t xml:space="preserve"> and </w:t>
      </w:r>
      <w:r w:rsidRPr="0092695A">
        <w:rPr>
          <w:rFonts w:ascii="Times New Roman" w:hAnsi="Times New Roman" w:cs="Times New Roman"/>
          <w:sz w:val="22"/>
          <w:szCs w:val="22"/>
          <w:lang w:eastAsia="en-GB"/>
        </w:rPr>
        <w:t xml:space="preserve">of </w:t>
      </w:r>
      <w:r w:rsidR="00610D0A" w:rsidRPr="0092695A">
        <w:rPr>
          <w:rFonts w:ascii="Times New Roman" w:hAnsi="Times New Roman" w:cs="Times New Roman"/>
          <w:sz w:val="22"/>
          <w:szCs w:val="22"/>
          <w:lang w:eastAsia="en-GB"/>
        </w:rPr>
        <w:t>the available tools to prevent and report corruption and conflict of interest.</w:t>
      </w:r>
      <w:r w:rsidR="00384F91" w:rsidRPr="0092695A">
        <w:rPr>
          <w:rFonts w:ascii="Times New Roman" w:hAnsi="Times New Roman" w:cs="Times New Roman"/>
          <w:sz w:val="22"/>
          <w:szCs w:val="22"/>
          <w:lang w:eastAsia="en-GB"/>
        </w:rPr>
        <w:t xml:space="preserve">Further on, in cooperation with the relevant state institutions and CSOs, the Action will explore the opportunities to pilot IT/web/mobile applications aimed at raising citizens' awareness on anti-corruption, monitoring performance of state institutions, reporting corruption </w:t>
      </w:r>
      <w:r w:rsidR="00384F91" w:rsidRPr="0092695A">
        <w:rPr>
          <w:rFonts w:ascii="Times New Roman" w:hAnsi="Times New Roman" w:cs="Times New Roman"/>
          <w:color w:val="141414"/>
          <w:sz w:val="22"/>
          <w:szCs w:val="22"/>
        </w:rPr>
        <w:t>concerns.</w:t>
      </w:r>
    </w:p>
    <w:p w:rsidR="002964D5" w:rsidRPr="0092695A" w:rsidRDefault="000137D0" w:rsidP="002964D5">
      <w:pPr>
        <w:pStyle w:val="CommentText"/>
        <w:numPr>
          <w:ilvl w:val="0"/>
          <w:numId w:val="83"/>
        </w:numPr>
        <w:autoSpaceDE w:val="0"/>
        <w:autoSpaceDN w:val="0"/>
        <w:adjustRightInd w:val="0"/>
        <w:spacing w:after="0"/>
        <w:rPr>
          <w:rFonts w:ascii="Times New Roman" w:hAnsi="Times New Roman" w:cs="Times New Roman"/>
          <w:sz w:val="22"/>
          <w:szCs w:val="22"/>
          <w:lang w:eastAsia="en-GB"/>
        </w:rPr>
      </w:pPr>
      <w:r w:rsidRPr="0092695A">
        <w:rPr>
          <w:rFonts w:ascii="Times New Roman" w:hAnsi="Times New Roman" w:cs="Times New Roman"/>
          <w:sz w:val="22"/>
          <w:szCs w:val="22"/>
          <w:lang w:eastAsia="en-GB"/>
        </w:rPr>
        <w:t>Carry out a comprehensive assessment of the Law on Access to Public Information and other relevant laws</w:t>
      </w:r>
      <w:r w:rsidR="00BC057B" w:rsidRPr="0092695A">
        <w:rPr>
          <w:rFonts w:ascii="Times New Roman" w:hAnsi="Times New Roman" w:cs="Times New Roman"/>
          <w:sz w:val="22"/>
          <w:szCs w:val="22"/>
          <w:lang w:eastAsia="en-GB"/>
        </w:rPr>
        <w:t xml:space="preserve"> as well as their practical functioning,</w:t>
      </w:r>
      <w:r w:rsidRPr="0092695A">
        <w:rPr>
          <w:rFonts w:ascii="Times New Roman" w:hAnsi="Times New Roman" w:cs="Times New Roman"/>
          <w:sz w:val="22"/>
          <w:szCs w:val="22"/>
          <w:lang w:eastAsia="en-GB"/>
        </w:rPr>
        <w:t xml:space="preserve"> and propose reform measures in order to</w:t>
      </w:r>
      <w:r w:rsidR="00BC057B" w:rsidRPr="0092695A">
        <w:rPr>
          <w:rFonts w:ascii="Times New Roman" w:hAnsi="Times New Roman" w:cs="Times New Roman"/>
          <w:sz w:val="22"/>
          <w:szCs w:val="22"/>
          <w:lang w:eastAsia="en-GB"/>
        </w:rPr>
        <w:t xml:space="preserve"> systematically improve citizens' access to public information, to</w:t>
      </w:r>
      <w:r w:rsidRPr="0092695A">
        <w:rPr>
          <w:rFonts w:ascii="Times New Roman" w:hAnsi="Times New Roman" w:cs="Times New Roman"/>
          <w:sz w:val="22"/>
          <w:szCs w:val="22"/>
          <w:lang w:eastAsia="en-GB"/>
        </w:rPr>
        <w:t xml:space="preserve"> strengthen the status, the powers and the operational functions of the Commission for Protection of the Right to Free Access to Public Information, to </w:t>
      </w:r>
      <w:r w:rsidR="009A5408" w:rsidRPr="0092695A">
        <w:rPr>
          <w:rFonts w:ascii="Times New Roman" w:hAnsi="Times New Roman" w:cs="Times New Roman"/>
          <w:sz w:val="22"/>
          <w:szCs w:val="22"/>
          <w:lang w:eastAsia="en-GB"/>
        </w:rPr>
        <w:t xml:space="preserve">clarify and </w:t>
      </w:r>
      <w:r w:rsidRPr="0092695A">
        <w:rPr>
          <w:rFonts w:ascii="Times New Roman" w:hAnsi="Times New Roman" w:cs="Times New Roman"/>
          <w:sz w:val="22"/>
          <w:szCs w:val="22"/>
          <w:lang w:eastAsia="en-GB"/>
        </w:rPr>
        <w:t xml:space="preserve">streamline the sanctioning regime for breaches of access to information rules and to enforce pro-active transparency standards in public administration. </w:t>
      </w:r>
      <w:r w:rsidR="009449D5" w:rsidRPr="0092695A">
        <w:rPr>
          <w:rFonts w:ascii="Times New Roman" w:hAnsi="Times New Roman" w:cs="Times New Roman"/>
          <w:sz w:val="22"/>
          <w:szCs w:val="22"/>
          <w:lang w:eastAsia="en-GB"/>
        </w:rPr>
        <w:t>Upgrade the capacit</w:t>
      </w:r>
      <w:r w:rsidR="00BC057B" w:rsidRPr="0092695A">
        <w:rPr>
          <w:rFonts w:ascii="Times New Roman" w:hAnsi="Times New Roman" w:cs="Times New Roman"/>
          <w:sz w:val="22"/>
          <w:szCs w:val="22"/>
          <w:lang w:eastAsia="en-GB"/>
        </w:rPr>
        <w:t xml:space="preserve">ies </w:t>
      </w:r>
      <w:r w:rsidR="005E4C45" w:rsidRPr="0092695A">
        <w:rPr>
          <w:rFonts w:ascii="Times New Roman" w:hAnsi="Times New Roman" w:cs="Times New Roman"/>
          <w:sz w:val="22"/>
          <w:szCs w:val="22"/>
          <w:lang w:eastAsia="en-GB"/>
        </w:rPr>
        <w:t xml:space="preserve">and </w:t>
      </w:r>
      <w:r w:rsidR="00BC057B" w:rsidRPr="0092695A">
        <w:rPr>
          <w:rFonts w:ascii="Times New Roman" w:hAnsi="Times New Roman" w:cs="Times New Roman"/>
          <w:sz w:val="22"/>
          <w:szCs w:val="22"/>
          <w:lang w:eastAsia="en-GB"/>
        </w:rPr>
        <w:t xml:space="preserve">skills </w:t>
      </w:r>
      <w:r w:rsidR="005E4C45" w:rsidRPr="0092695A">
        <w:rPr>
          <w:rFonts w:ascii="Times New Roman" w:hAnsi="Times New Roman" w:cs="Times New Roman"/>
          <w:sz w:val="22"/>
          <w:szCs w:val="22"/>
          <w:lang w:eastAsia="en-GB"/>
        </w:rPr>
        <w:t xml:space="preserve">of the Commission for Protection of the Right to Free Access to Public Information </w:t>
      </w:r>
      <w:r w:rsidR="00E60D98" w:rsidRPr="0092695A">
        <w:rPr>
          <w:rFonts w:ascii="Times New Roman" w:hAnsi="Times New Roman" w:cs="Times New Roman"/>
          <w:sz w:val="22"/>
          <w:szCs w:val="22"/>
          <w:lang w:eastAsia="en-GB"/>
        </w:rPr>
        <w:t>through training and on-the-job guidance</w:t>
      </w:r>
      <w:r w:rsidR="005E4C45" w:rsidRPr="0092695A">
        <w:rPr>
          <w:rFonts w:ascii="Times New Roman" w:hAnsi="Times New Roman" w:cs="Times New Roman"/>
          <w:sz w:val="22"/>
          <w:szCs w:val="22"/>
          <w:lang w:eastAsia="en-GB"/>
        </w:rPr>
        <w:t>to exercise effective oversight on the implementation of the law on free access to public information, to assess adequately cases of breaches of the lawand</w:t>
      </w:r>
      <w:r w:rsidR="00597C39" w:rsidRPr="0092695A">
        <w:rPr>
          <w:rFonts w:ascii="Times New Roman" w:hAnsi="Times New Roman" w:cs="Times New Roman"/>
          <w:sz w:val="22"/>
          <w:szCs w:val="22"/>
          <w:lang w:eastAsia="en-GB"/>
        </w:rPr>
        <w:t xml:space="preserve">to intervene in such cases. The action will also </w:t>
      </w:r>
      <w:r w:rsidR="009D2D46" w:rsidRPr="0092695A">
        <w:rPr>
          <w:rFonts w:ascii="Times New Roman" w:hAnsi="Times New Roman" w:cs="Times New Roman"/>
          <w:sz w:val="22"/>
          <w:szCs w:val="22"/>
          <w:lang w:eastAsia="en-GB"/>
        </w:rPr>
        <w:t>prepare</w:t>
      </w:r>
      <w:r w:rsidR="00E60D98" w:rsidRPr="0092695A">
        <w:rPr>
          <w:rFonts w:ascii="Times New Roman" w:hAnsi="Times New Roman" w:cs="Times New Roman"/>
          <w:sz w:val="22"/>
          <w:szCs w:val="22"/>
          <w:lang w:eastAsia="en-GB"/>
        </w:rPr>
        <w:t xml:space="preserve"> legislative amendments </w:t>
      </w:r>
      <w:r w:rsidR="00C63249" w:rsidRPr="0092695A">
        <w:rPr>
          <w:rFonts w:ascii="Times New Roman" w:hAnsi="Times New Roman" w:cs="Times New Roman"/>
          <w:sz w:val="22"/>
          <w:szCs w:val="22"/>
          <w:lang w:eastAsia="en-GB"/>
        </w:rPr>
        <w:t xml:space="preserve">in an inclusive and evidence-based process </w:t>
      </w:r>
      <w:r w:rsidR="00E60D98" w:rsidRPr="0092695A">
        <w:rPr>
          <w:rFonts w:ascii="Times New Roman" w:hAnsi="Times New Roman" w:cs="Times New Roman"/>
          <w:sz w:val="22"/>
          <w:szCs w:val="22"/>
          <w:lang w:eastAsia="en-GB"/>
        </w:rPr>
        <w:t>to</w:t>
      </w:r>
      <w:r w:rsidR="005E4C45" w:rsidRPr="0092695A">
        <w:rPr>
          <w:rFonts w:ascii="Times New Roman" w:hAnsi="Times New Roman" w:cs="Times New Roman"/>
          <w:sz w:val="22"/>
          <w:szCs w:val="22"/>
          <w:lang w:eastAsia="en-GB"/>
        </w:rPr>
        <w:t xml:space="preserve"> strengthen </w:t>
      </w:r>
      <w:r w:rsidR="00E60D98" w:rsidRPr="0092695A">
        <w:rPr>
          <w:rFonts w:ascii="Times New Roman" w:hAnsi="Times New Roman" w:cs="Times New Roman"/>
          <w:sz w:val="22"/>
          <w:szCs w:val="22"/>
          <w:lang w:eastAsia="en-GB"/>
        </w:rPr>
        <w:t xml:space="preserve">Commission's </w:t>
      </w:r>
      <w:r w:rsidR="005E4C45" w:rsidRPr="0092695A">
        <w:rPr>
          <w:rFonts w:ascii="Times New Roman" w:hAnsi="Times New Roman" w:cs="Times New Roman"/>
          <w:sz w:val="22"/>
          <w:szCs w:val="22"/>
          <w:lang w:eastAsia="en-GB"/>
        </w:rPr>
        <w:t xml:space="preserve">mandate. </w:t>
      </w:r>
    </w:p>
    <w:p w:rsidR="007D1E81" w:rsidRPr="0092695A" w:rsidRDefault="000137D0" w:rsidP="002964D5">
      <w:pPr>
        <w:pStyle w:val="CommentText"/>
        <w:numPr>
          <w:ilvl w:val="0"/>
          <w:numId w:val="83"/>
        </w:numPr>
        <w:autoSpaceDE w:val="0"/>
        <w:autoSpaceDN w:val="0"/>
        <w:adjustRightInd w:val="0"/>
        <w:spacing w:after="0"/>
        <w:rPr>
          <w:rFonts w:ascii="Times New Roman" w:hAnsi="Times New Roman" w:cs="Times New Roman"/>
          <w:sz w:val="22"/>
          <w:szCs w:val="22"/>
          <w:lang w:eastAsia="en-GB"/>
        </w:rPr>
      </w:pPr>
      <w:r w:rsidRPr="0092695A">
        <w:rPr>
          <w:rFonts w:ascii="Times New Roman" w:hAnsi="Times New Roman" w:cs="Times New Roman"/>
          <w:sz w:val="22"/>
          <w:szCs w:val="22"/>
          <w:lang w:eastAsia="en-GB"/>
        </w:rPr>
        <w:t xml:space="preserve">Provide </w:t>
      </w:r>
      <w:r w:rsidR="00BC057B" w:rsidRPr="0092695A">
        <w:rPr>
          <w:rFonts w:ascii="Times New Roman" w:hAnsi="Times New Roman" w:cs="Times New Roman"/>
          <w:sz w:val="22"/>
          <w:szCs w:val="22"/>
          <w:lang w:eastAsia="en-GB"/>
        </w:rPr>
        <w:t xml:space="preserve">the necessary </w:t>
      </w:r>
      <w:r w:rsidRPr="0092695A">
        <w:rPr>
          <w:rFonts w:ascii="Times New Roman" w:hAnsi="Times New Roman" w:cs="Times New Roman"/>
          <w:sz w:val="22"/>
          <w:szCs w:val="22"/>
          <w:lang w:eastAsia="en-GB"/>
        </w:rPr>
        <w:t>technical assistance to the Government in implementation of the Open Government Partnership Action Plan</w:t>
      </w:r>
      <w:r w:rsidR="00BC057B" w:rsidRPr="0092695A">
        <w:rPr>
          <w:rFonts w:ascii="Times New Roman" w:hAnsi="Times New Roman" w:cs="Times New Roman"/>
          <w:sz w:val="22"/>
          <w:szCs w:val="22"/>
          <w:lang w:eastAsia="en-GB"/>
        </w:rPr>
        <w:t xml:space="preserve"> for the country. </w:t>
      </w:r>
    </w:p>
    <w:p w:rsidR="007D1E81" w:rsidRPr="0092695A" w:rsidRDefault="005E4C45" w:rsidP="00DE3FFC">
      <w:pPr>
        <w:pStyle w:val="CommentText"/>
        <w:numPr>
          <w:ilvl w:val="0"/>
          <w:numId w:val="83"/>
        </w:numPr>
        <w:autoSpaceDE w:val="0"/>
        <w:autoSpaceDN w:val="0"/>
        <w:adjustRightInd w:val="0"/>
        <w:spacing w:after="0"/>
        <w:rPr>
          <w:rFonts w:ascii="Times New Roman" w:hAnsi="Times New Roman" w:cs="Times New Roman"/>
          <w:sz w:val="22"/>
          <w:szCs w:val="22"/>
        </w:rPr>
      </w:pPr>
      <w:r w:rsidRPr="0092695A">
        <w:rPr>
          <w:rFonts w:ascii="Times New Roman" w:hAnsi="Times New Roman" w:cs="Times New Roman"/>
          <w:sz w:val="22"/>
          <w:szCs w:val="22"/>
          <w:lang w:eastAsia="en-GB"/>
        </w:rPr>
        <w:t>Development of standards</w:t>
      </w:r>
      <w:r w:rsidR="00421E05" w:rsidRPr="0092695A">
        <w:rPr>
          <w:rFonts w:ascii="Times New Roman" w:hAnsi="Times New Roman" w:cs="Times New Roman"/>
          <w:sz w:val="22"/>
          <w:szCs w:val="22"/>
          <w:lang w:eastAsia="en-GB"/>
        </w:rPr>
        <w:t xml:space="preserve"> and formal rules</w:t>
      </w:r>
      <w:r w:rsidRPr="0092695A">
        <w:rPr>
          <w:rFonts w:ascii="Times New Roman" w:hAnsi="Times New Roman" w:cs="Times New Roman"/>
          <w:sz w:val="22"/>
          <w:szCs w:val="22"/>
          <w:lang w:eastAsia="en-GB"/>
        </w:rPr>
        <w:t xml:space="preserve"> for </w:t>
      </w:r>
      <w:r w:rsidR="00421E05" w:rsidRPr="0092695A">
        <w:rPr>
          <w:rFonts w:ascii="Times New Roman" w:hAnsi="Times New Roman" w:cs="Times New Roman"/>
          <w:sz w:val="22"/>
          <w:szCs w:val="22"/>
          <w:lang w:eastAsia="en-GB"/>
        </w:rPr>
        <w:t xml:space="preserve">pro-active </w:t>
      </w:r>
      <w:r w:rsidRPr="0092695A">
        <w:rPr>
          <w:rFonts w:ascii="Times New Roman" w:hAnsi="Times New Roman" w:cs="Times New Roman"/>
          <w:sz w:val="22"/>
          <w:szCs w:val="22"/>
          <w:lang w:eastAsia="en-GB"/>
        </w:rPr>
        <w:t xml:space="preserve">transparency at central and local level </w:t>
      </w:r>
      <w:r w:rsidR="009449D5" w:rsidRPr="0092695A">
        <w:rPr>
          <w:rFonts w:ascii="Times New Roman" w:hAnsi="Times New Roman" w:cs="Times New Roman"/>
          <w:sz w:val="22"/>
          <w:szCs w:val="22"/>
          <w:lang w:eastAsia="en-GB"/>
        </w:rPr>
        <w:t>and support</w:t>
      </w:r>
      <w:r w:rsidR="00421E05" w:rsidRPr="0092695A">
        <w:rPr>
          <w:rFonts w:ascii="Times New Roman" w:hAnsi="Times New Roman" w:cs="Times New Roman"/>
          <w:sz w:val="22"/>
          <w:szCs w:val="22"/>
          <w:lang w:eastAsia="en-GB"/>
        </w:rPr>
        <w:t>ing</w:t>
      </w:r>
      <w:r w:rsidR="009449D5" w:rsidRPr="0092695A">
        <w:rPr>
          <w:rFonts w:ascii="Times New Roman" w:hAnsi="Times New Roman" w:cs="Times New Roman"/>
          <w:sz w:val="22"/>
          <w:szCs w:val="22"/>
          <w:lang w:eastAsia="en-GB"/>
        </w:rPr>
        <w:t xml:space="preserve"> their </w:t>
      </w:r>
      <w:r w:rsidR="00421E05" w:rsidRPr="0092695A">
        <w:rPr>
          <w:rFonts w:ascii="Times New Roman" w:hAnsi="Times New Roman" w:cs="Times New Roman"/>
          <w:sz w:val="22"/>
          <w:szCs w:val="22"/>
          <w:lang w:eastAsia="en-GB"/>
        </w:rPr>
        <w:t xml:space="preserve">practical </w:t>
      </w:r>
      <w:r w:rsidR="009449D5" w:rsidRPr="0092695A">
        <w:rPr>
          <w:rFonts w:ascii="Times New Roman" w:hAnsi="Times New Roman" w:cs="Times New Roman"/>
          <w:sz w:val="22"/>
          <w:szCs w:val="22"/>
          <w:lang w:eastAsia="en-GB"/>
        </w:rPr>
        <w:t>implementation. The activit</w:t>
      </w:r>
      <w:r w:rsidR="00832C52" w:rsidRPr="0092695A">
        <w:rPr>
          <w:rFonts w:ascii="Times New Roman" w:hAnsi="Times New Roman" w:cs="Times New Roman"/>
          <w:sz w:val="22"/>
          <w:szCs w:val="22"/>
          <w:lang w:eastAsia="en-GB"/>
        </w:rPr>
        <w:t xml:space="preserve">y </w:t>
      </w:r>
      <w:r w:rsidR="009449D5" w:rsidRPr="0092695A">
        <w:rPr>
          <w:rFonts w:ascii="Times New Roman" w:hAnsi="Times New Roman" w:cs="Times New Roman"/>
          <w:sz w:val="22"/>
          <w:szCs w:val="22"/>
          <w:lang w:eastAsia="en-GB"/>
        </w:rPr>
        <w:t xml:space="preserve">comprises a </w:t>
      </w:r>
      <w:r w:rsidR="00597C39" w:rsidRPr="0092695A">
        <w:rPr>
          <w:rFonts w:ascii="Times New Roman" w:hAnsi="Times New Roman" w:cs="Times New Roman"/>
          <w:sz w:val="22"/>
          <w:szCs w:val="22"/>
          <w:lang w:eastAsia="en-GB"/>
        </w:rPr>
        <w:t>l</w:t>
      </w:r>
      <w:r w:rsidR="009449D5" w:rsidRPr="0092695A">
        <w:rPr>
          <w:rFonts w:ascii="Times New Roman" w:hAnsi="Times New Roman" w:cs="Times New Roman"/>
          <w:sz w:val="22"/>
          <w:szCs w:val="22"/>
          <w:lang w:eastAsia="en-GB"/>
        </w:rPr>
        <w:t xml:space="preserve">egal drafting exercise </w:t>
      </w:r>
      <w:r w:rsidRPr="0092695A">
        <w:rPr>
          <w:rFonts w:ascii="Times New Roman" w:hAnsi="Times New Roman" w:cs="Times New Roman"/>
          <w:sz w:val="22"/>
          <w:szCs w:val="22"/>
          <w:lang w:eastAsia="en-GB"/>
        </w:rPr>
        <w:t>and providing training and information to the public bodies in regards to free access to public information</w:t>
      </w:r>
      <w:r w:rsidR="00597C39" w:rsidRPr="0092695A">
        <w:rPr>
          <w:rFonts w:ascii="Times New Roman" w:hAnsi="Times New Roman" w:cs="Times New Roman"/>
          <w:sz w:val="22"/>
          <w:szCs w:val="22"/>
          <w:lang w:eastAsia="en-GB"/>
        </w:rPr>
        <w:t xml:space="preserve">. Support will also be </w:t>
      </w:r>
      <w:r w:rsidR="009449D5" w:rsidRPr="0092695A">
        <w:rPr>
          <w:rFonts w:ascii="Times New Roman" w:hAnsi="Times New Roman" w:cs="Times New Roman"/>
          <w:sz w:val="22"/>
          <w:szCs w:val="22"/>
          <w:lang w:eastAsia="en-GB"/>
        </w:rPr>
        <w:t>given</w:t>
      </w:r>
      <w:r w:rsidR="000D33DF" w:rsidRPr="0092695A">
        <w:rPr>
          <w:rFonts w:ascii="Times New Roman" w:hAnsi="Times New Roman" w:cs="Times New Roman"/>
          <w:sz w:val="22"/>
          <w:szCs w:val="22"/>
          <w:lang w:eastAsia="en-GB"/>
        </w:rPr>
        <w:t xml:space="preserve">in designing the suitable procedures for the </w:t>
      </w:r>
      <w:r w:rsidRPr="0092695A">
        <w:rPr>
          <w:rFonts w:ascii="Times New Roman" w:hAnsi="Times New Roman" w:cs="Times New Roman"/>
          <w:sz w:val="22"/>
          <w:szCs w:val="22"/>
          <w:lang w:eastAsia="en-GB"/>
        </w:rPr>
        <w:t xml:space="preserve">introduction and application of the standards </w:t>
      </w:r>
      <w:r w:rsidR="000D33DF" w:rsidRPr="0092695A">
        <w:rPr>
          <w:rFonts w:ascii="Times New Roman" w:hAnsi="Times New Roman" w:cs="Times New Roman"/>
          <w:sz w:val="22"/>
          <w:szCs w:val="22"/>
          <w:lang w:eastAsia="en-GB"/>
        </w:rPr>
        <w:t xml:space="preserve">within </w:t>
      </w:r>
      <w:r w:rsidRPr="0092695A">
        <w:rPr>
          <w:rFonts w:ascii="Times New Roman" w:hAnsi="Times New Roman" w:cs="Times New Roman"/>
          <w:sz w:val="22"/>
          <w:szCs w:val="22"/>
          <w:lang w:eastAsia="en-GB"/>
        </w:rPr>
        <w:t>the administration</w:t>
      </w:r>
      <w:r w:rsidR="00421E05" w:rsidRPr="0092695A">
        <w:rPr>
          <w:rFonts w:ascii="Times New Roman" w:hAnsi="Times New Roman" w:cs="Times New Roman"/>
          <w:sz w:val="22"/>
          <w:szCs w:val="22"/>
          <w:lang w:eastAsia="en-GB"/>
        </w:rPr>
        <w:t xml:space="preserve"> and testing them in practice</w:t>
      </w:r>
      <w:r w:rsidRPr="0092695A">
        <w:rPr>
          <w:rFonts w:ascii="Times New Roman" w:hAnsi="Times New Roman" w:cs="Times New Roman"/>
          <w:sz w:val="22"/>
          <w:szCs w:val="22"/>
          <w:lang w:eastAsia="en-GB"/>
        </w:rPr>
        <w:t>.</w:t>
      </w:r>
      <w:r w:rsidR="00DE3FFC" w:rsidRPr="0092695A">
        <w:rPr>
          <w:rFonts w:ascii="Times New Roman" w:hAnsi="Times New Roman" w:cs="Times New Roman"/>
          <w:sz w:val="22"/>
          <w:szCs w:val="22"/>
          <w:lang w:eastAsia="en-GB"/>
        </w:rPr>
        <w:t>P</w:t>
      </w:r>
      <w:r w:rsidR="007D1E81" w:rsidRPr="0092695A">
        <w:rPr>
          <w:rFonts w:ascii="Times New Roman" w:hAnsi="Times New Roman" w:cs="Times New Roman"/>
          <w:sz w:val="22"/>
          <w:szCs w:val="22"/>
        </w:rPr>
        <w:t xml:space="preserve">ilot </w:t>
      </w:r>
      <w:r w:rsidR="00DE3FFC" w:rsidRPr="0092695A">
        <w:rPr>
          <w:rFonts w:ascii="Times New Roman" w:hAnsi="Times New Roman" w:cs="Times New Roman"/>
          <w:sz w:val="22"/>
          <w:szCs w:val="22"/>
        </w:rPr>
        <w:t xml:space="preserve">transparency enhancing </w:t>
      </w:r>
      <w:r w:rsidR="007D1E81" w:rsidRPr="0092695A">
        <w:rPr>
          <w:rFonts w:ascii="Times New Roman" w:hAnsi="Times New Roman" w:cs="Times New Roman"/>
          <w:sz w:val="22"/>
          <w:szCs w:val="22"/>
        </w:rPr>
        <w:t xml:space="preserve">exercises </w:t>
      </w:r>
      <w:r w:rsidR="00DE3FFC" w:rsidRPr="0092695A">
        <w:rPr>
          <w:rFonts w:ascii="Times New Roman" w:hAnsi="Times New Roman" w:cs="Times New Roman"/>
          <w:sz w:val="22"/>
          <w:szCs w:val="22"/>
        </w:rPr>
        <w:t>will be implemented in 3 bodies involving the</w:t>
      </w:r>
      <w:r w:rsidR="007D1E81" w:rsidRPr="0092695A">
        <w:rPr>
          <w:rFonts w:ascii="Times New Roman" w:hAnsi="Times New Roman" w:cs="Times New Roman"/>
          <w:sz w:val="22"/>
          <w:szCs w:val="22"/>
        </w:rPr>
        <w:t xml:space="preserve"> review</w:t>
      </w:r>
      <w:r w:rsidR="00DE3FFC" w:rsidRPr="0092695A">
        <w:rPr>
          <w:rFonts w:ascii="Times New Roman" w:hAnsi="Times New Roman" w:cs="Times New Roman"/>
          <w:sz w:val="22"/>
          <w:szCs w:val="22"/>
        </w:rPr>
        <w:t xml:space="preserve"> of transparency policy and introduction of transparency standards in practice.</w:t>
      </w:r>
    </w:p>
    <w:p w:rsidR="0006430D" w:rsidRPr="0092695A" w:rsidRDefault="0006430D" w:rsidP="0092695A">
      <w:pPr>
        <w:pStyle w:val="ActionDocument"/>
        <w:spacing w:before="0" w:after="0"/>
        <w:ind w:left="360"/>
        <w:rPr>
          <w:lang w:eastAsia="en-GB"/>
        </w:rPr>
      </w:pPr>
    </w:p>
    <w:p w:rsidR="0006430D" w:rsidRPr="0092695A" w:rsidRDefault="0006430D" w:rsidP="0092695A">
      <w:pPr>
        <w:pStyle w:val="ActionDocument"/>
        <w:spacing w:before="0" w:after="0"/>
        <w:ind w:left="360"/>
      </w:pPr>
      <w:r w:rsidRPr="0092695A">
        <w:rPr>
          <w:lang w:eastAsia="en-GB"/>
        </w:rPr>
        <w:t xml:space="preserve">This activity will be managed by the </w:t>
      </w:r>
      <w:r w:rsidRPr="0092695A">
        <w:t>State Commission for Prevention of Corruption</w:t>
      </w:r>
      <w:r w:rsidR="0092695A" w:rsidRPr="0092695A">
        <w:t xml:space="preserve"> and the </w:t>
      </w:r>
      <w:r w:rsidR="0092695A" w:rsidRPr="0092695A">
        <w:rPr>
          <w:lang w:eastAsia="en-GB"/>
        </w:rPr>
        <w:t>Commission for Protection of the Right to Free Access to Public Information</w:t>
      </w:r>
    </w:p>
    <w:p w:rsidR="00296FBD" w:rsidRPr="0092695A" w:rsidRDefault="0092695A" w:rsidP="0006430D">
      <w:pPr>
        <w:pStyle w:val="ActionDocument"/>
        <w:shd w:val="clear" w:color="auto" w:fill="auto"/>
        <w:spacing w:before="240"/>
        <w:rPr>
          <w:b/>
        </w:rPr>
      </w:pPr>
      <w:r w:rsidRPr="0092695A">
        <w:rPr>
          <w:b/>
          <w:bCs/>
          <w:iCs/>
        </w:rPr>
        <w:t xml:space="preserve">Result 1.3 – Improved delivery, quality, number and scope of public services to citizens and to business (e-Government) / </w:t>
      </w:r>
      <w:r w:rsidR="00607482" w:rsidRPr="0092695A">
        <w:rPr>
          <w:b/>
          <w:bCs/>
          <w:iCs/>
        </w:rPr>
        <w:t>Activity</w:t>
      </w:r>
      <w:r w:rsidR="00296FBD" w:rsidRPr="0092695A">
        <w:rPr>
          <w:b/>
          <w:bCs/>
          <w:iCs/>
        </w:rPr>
        <w:t xml:space="preserve"> 1.</w:t>
      </w:r>
      <w:r w:rsidR="00D80A2B" w:rsidRPr="0092695A">
        <w:rPr>
          <w:b/>
          <w:bCs/>
          <w:iCs/>
        </w:rPr>
        <w:t xml:space="preserve">3 </w:t>
      </w:r>
      <w:r w:rsidR="00607482" w:rsidRPr="0092695A">
        <w:rPr>
          <w:b/>
          <w:bCs/>
          <w:iCs/>
        </w:rPr>
        <w:t xml:space="preserve">–Improving the </w:t>
      </w:r>
      <w:r w:rsidR="00296FBD" w:rsidRPr="0092695A">
        <w:rPr>
          <w:b/>
          <w:bCs/>
          <w:iCs/>
        </w:rPr>
        <w:t>delivery, quality, number and scope of public services to citizens and to business (e-Government</w:t>
      </w:r>
      <w:r w:rsidR="00296FBD" w:rsidRPr="0092695A">
        <w:rPr>
          <w:b/>
        </w:rPr>
        <w:t>)</w:t>
      </w:r>
    </w:p>
    <w:p w:rsidR="00832C52" w:rsidRPr="0092695A" w:rsidRDefault="00832C52" w:rsidP="0006430D">
      <w:pPr>
        <w:pStyle w:val="ActionDocument"/>
        <w:spacing w:before="240"/>
        <w:ind w:left="426"/>
        <w:rPr>
          <w:b/>
        </w:rPr>
      </w:pPr>
      <w:r w:rsidRPr="0092695A">
        <w:rPr>
          <w:b/>
        </w:rPr>
        <w:t>Activity 1.</w:t>
      </w:r>
      <w:r w:rsidR="00D80A2B" w:rsidRPr="0092695A">
        <w:rPr>
          <w:b/>
        </w:rPr>
        <w:t>3</w:t>
      </w:r>
      <w:r w:rsidR="00C63249" w:rsidRPr="0092695A">
        <w:rPr>
          <w:b/>
        </w:rPr>
        <w:t>.1</w:t>
      </w:r>
      <w:r w:rsidR="0002225D" w:rsidRPr="0092695A">
        <w:rPr>
          <w:b/>
        </w:rPr>
        <w:t xml:space="preserve"> - </w:t>
      </w:r>
      <w:r w:rsidRPr="0092695A">
        <w:rPr>
          <w:b/>
        </w:rPr>
        <w:t xml:space="preserve"> Establishing e-Citizens platform</w:t>
      </w:r>
    </w:p>
    <w:p w:rsidR="00252DA0" w:rsidRPr="0092695A" w:rsidRDefault="005E4C45" w:rsidP="009E1D9B">
      <w:pPr>
        <w:pStyle w:val="ActionDocument"/>
        <w:ind w:left="720"/>
      </w:pPr>
      <w:r w:rsidRPr="0092695A">
        <w:t xml:space="preserve">The e-Citizens platform entails the development of a complete circuit of front and back office operations to allow delivering of e-services to citizens. This includes establishment of a Single-point-of contact </w:t>
      </w:r>
      <w:r w:rsidRPr="0092695A">
        <w:rPr>
          <w:lang w:eastAsia="en-GB"/>
        </w:rPr>
        <w:t>for the key public services to citizens (at least 30% coverage) as well as creation of an e-circuit, based on agreed</w:t>
      </w:r>
      <w:r w:rsidRPr="0092695A">
        <w:t xml:space="preserve"> responsibilities, procedures and operational rules integrated into a user-friendly IT solution.</w:t>
      </w:r>
    </w:p>
    <w:p w:rsidR="00252DA0" w:rsidRPr="0092695A" w:rsidRDefault="005E4C45">
      <w:pPr>
        <w:pStyle w:val="ActionDocument"/>
        <w:ind w:left="720"/>
        <w:rPr>
          <w:lang w:eastAsia="en-GB"/>
        </w:rPr>
      </w:pPr>
      <w:r w:rsidRPr="0092695A">
        <w:t>In addition, the activity envisages to support the</w:t>
      </w:r>
      <w:r w:rsidRPr="0092695A">
        <w:rPr>
          <w:lang w:eastAsia="en-GB"/>
        </w:rPr>
        <w:t xml:space="preserve"> establishment of accessibility standards to public services (both to physical premises, as well as to government webpages) and their introduction into the public bodies.</w:t>
      </w:r>
    </w:p>
    <w:p w:rsidR="00252DA0" w:rsidRPr="0092695A" w:rsidRDefault="005E4C45">
      <w:pPr>
        <w:pStyle w:val="ActionDocument"/>
        <w:ind w:left="720"/>
        <w:rPr>
          <w:lang w:eastAsia="en-GB"/>
        </w:rPr>
      </w:pPr>
      <w:r w:rsidRPr="0092695A">
        <w:rPr>
          <w:lang w:eastAsia="en-GB"/>
        </w:rPr>
        <w:t>Support will also be provided for the further development of electronic authentication system for citizens and businesses.</w:t>
      </w:r>
    </w:p>
    <w:p w:rsidR="00252DA0" w:rsidRPr="0092695A" w:rsidRDefault="005E4C45">
      <w:pPr>
        <w:pStyle w:val="ActionDocument"/>
        <w:spacing w:before="0" w:after="0"/>
        <w:ind w:left="720"/>
        <w:rPr>
          <w:lang w:eastAsia="en-GB"/>
        </w:rPr>
      </w:pPr>
      <w:r w:rsidRPr="0092695A">
        <w:rPr>
          <w:lang w:eastAsia="en-GB"/>
        </w:rPr>
        <w:t xml:space="preserve">Finally, the system will be used as a platform for integrating a pilot module (also to be developed under this activity) for measuring the performance of the involved institutions and public servants both in terms of timeliness (back office) and clients satisfaction (front office). This experience will be further used for introducing performance measurement systems in public administration. </w:t>
      </w:r>
    </w:p>
    <w:p w:rsidR="00252DA0" w:rsidRPr="0092695A" w:rsidRDefault="005E4C45">
      <w:pPr>
        <w:pStyle w:val="ActionDocument"/>
        <w:ind w:left="720"/>
      </w:pPr>
      <w:r w:rsidRPr="0092695A">
        <w:t>This activity will be implemented by the Ministry of Information society and Administration in close coordination with the newly established Digital Agency.</w:t>
      </w:r>
    </w:p>
    <w:p w:rsidR="00832C52" w:rsidRPr="0092695A" w:rsidRDefault="00832C52" w:rsidP="0006430D">
      <w:pPr>
        <w:pStyle w:val="ActionDocument"/>
        <w:spacing w:before="240"/>
        <w:ind w:left="426"/>
        <w:rPr>
          <w:b/>
        </w:rPr>
      </w:pPr>
      <w:r w:rsidRPr="0092695A">
        <w:rPr>
          <w:b/>
        </w:rPr>
        <w:t>Activity 1.</w:t>
      </w:r>
      <w:r w:rsidR="00D80A2B" w:rsidRPr="0092695A">
        <w:rPr>
          <w:b/>
        </w:rPr>
        <w:t>3</w:t>
      </w:r>
      <w:r w:rsidR="00537FDB" w:rsidRPr="0092695A">
        <w:rPr>
          <w:b/>
        </w:rPr>
        <w:t>.2</w:t>
      </w:r>
      <w:r w:rsidR="0002225D" w:rsidRPr="0092695A">
        <w:rPr>
          <w:b/>
        </w:rPr>
        <w:t>-</w:t>
      </w:r>
      <w:r w:rsidRPr="0092695A">
        <w:rPr>
          <w:b/>
        </w:rPr>
        <w:t xml:space="preserve"> Establishing e-Business platform</w:t>
      </w:r>
    </w:p>
    <w:p w:rsidR="00252DA0" w:rsidRPr="0092695A" w:rsidRDefault="005E4C45" w:rsidP="00AA4C59">
      <w:pPr>
        <w:pStyle w:val="ActionDocument"/>
        <w:spacing w:before="0"/>
        <w:ind w:left="720"/>
      </w:pPr>
      <w:r w:rsidRPr="0092695A">
        <w:t xml:space="preserve">The objective of this e-tool will be to provide a </w:t>
      </w:r>
      <w:r w:rsidRPr="0092695A">
        <w:rPr>
          <w:b/>
        </w:rPr>
        <w:t>“One-stop-shop” system (OSS)</w:t>
      </w:r>
      <w:r w:rsidRPr="0092695A">
        <w:t xml:space="preserve"> for all business-related permits and licenses in the country. There are already established electronic services as for example the one related to construction permits that already has been put in use and is functioning very successfully. Other e-services also exist i.e.  services of the Central Register disposing with a digitalised platform for establishing companies or services of the Cadastre Office linked to registering ownership over real estate and other ownership rights as lease, servitudes etc. This activity will further extend the existing services and encompass the remaining out of the e-circuit institutions to ensure comprehensive and streamlined service for the businesses. Thus, the Action will ensure 100% coverage of the business permits and licences across the country by e-circuit. This is a crucial stage in the OSS development as it will cover all relevant central bodies and all municipalities, which act as interface between the businesses and the state institutions. Further on, the OSS will be upgraded to an </w:t>
      </w:r>
      <w:r w:rsidR="00C1546A">
        <w:t>"</w:t>
      </w:r>
      <w:r w:rsidRPr="0092695A">
        <w:t xml:space="preserve">Umbrella/Single –point-of contact" IT platform that will operate as a dynamic electronic network of one-stop-shops and other business support systems/bodies currently functioning in the country. </w:t>
      </w:r>
    </w:p>
    <w:p w:rsidR="00252DA0" w:rsidRPr="0092695A" w:rsidRDefault="005E4C45">
      <w:pPr>
        <w:pStyle w:val="ActionDocument"/>
        <w:spacing w:before="0"/>
        <w:ind w:left="720"/>
      </w:pPr>
      <w:r w:rsidRPr="0092695A">
        <w:t xml:space="preserve">The activity entails the definition of responsibilities and development of operational procedures and rules (not the permit and licences procedures as such) for better functioning of the system as well as putting in use of an IT solution for electronic management of the complete cycle of issuing permits and licences. Further on, it will build up/extend the needed capacities to maintain and use the OSS focusing at different stakeholders. </w:t>
      </w:r>
    </w:p>
    <w:p w:rsidR="00252DA0" w:rsidRPr="0092695A" w:rsidRDefault="005E4C45">
      <w:pPr>
        <w:pStyle w:val="ActionDocument"/>
        <w:spacing w:before="0"/>
        <w:ind w:left="720"/>
      </w:pPr>
      <w:r w:rsidRPr="0092695A">
        <w:t>The completion of the OSS will thus ensure:</w:t>
      </w:r>
    </w:p>
    <w:p w:rsidR="00252DA0" w:rsidRPr="0092695A" w:rsidRDefault="005E4C45">
      <w:pPr>
        <w:pStyle w:val="ActionDocument"/>
        <w:numPr>
          <w:ilvl w:val="0"/>
          <w:numId w:val="51"/>
        </w:numPr>
        <w:spacing w:before="0" w:after="60"/>
        <w:ind w:left="1196" w:right="57" w:hanging="238"/>
      </w:pPr>
      <w:r w:rsidRPr="0092695A">
        <w:t xml:space="preserve">a single point of contact for any SMEs in obtaining any kind of permit or license or looking for targeted business information. It will be supplemented by an interactive web-based interface to serve as an entry door for the SMEs and to navigate them through various categories of information such as "issuing of licences", "access to services", "access to funding", "registration of companies", etc.; </w:t>
      </w:r>
    </w:p>
    <w:p w:rsidR="00252DA0" w:rsidRPr="0092695A" w:rsidRDefault="005E4C45">
      <w:pPr>
        <w:pStyle w:val="ActionDocument"/>
        <w:numPr>
          <w:ilvl w:val="0"/>
          <w:numId w:val="51"/>
        </w:numPr>
        <w:spacing w:before="0" w:after="60"/>
        <w:ind w:left="1196" w:right="57" w:hanging="238"/>
      </w:pPr>
      <w:r w:rsidRPr="0092695A">
        <w:t>electronic submission of requests, possibility for electronic tracking of the submitted requests;</w:t>
      </w:r>
    </w:p>
    <w:p w:rsidR="00252DA0" w:rsidRPr="0092695A" w:rsidRDefault="005E4C45">
      <w:pPr>
        <w:pStyle w:val="ActionDocument"/>
        <w:numPr>
          <w:ilvl w:val="0"/>
          <w:numId w:val="51"/>
        </w:numPr>
        <w:spacing w:before="0" w:after="60"/>
        <w:ind w:left="1196" w:right="57" w:hanging="238"/>
      </w:pPr>
      <w:r w:rsidRPr="0092695A">
        <w:t xml:space="preserve">secured electronic exchange of documents and information between all public institutions linked to the issuing of a particular business license and permit and electronic issuing of documents </w:t>
      </w:r>
    </w:p>
    <w:p w:rsidR="00252DA0" w:rsidRPr="0092695A" w:rsidRDefault="005E4C45">
      <w:pPr>
        <w:pStyle w:val="ActionDocument"/>
        <w:numPr>
          <w:ilvl w:val="0"/>
          <w:numId w:val="51"/>
        </w:numPr>
        <w:spacing w:before="0" w:after="60"/>
        <w:ind w:left="1196" w:right="57" w:hanging="238"/>
      </w:pPr>
      <w:r w:rsidRPr="0092695A">
        <w:t xml:space="preserve">dynamic update of all contents based on clear responsibilities, mandates and secured resources among the participating institutions. </w:t>
      </w:r>
    </w:p>
    <w:p w:rsidR="00252DA0" w:rsidRPr="0092695A" w:rsidRDefault="005E4C45">
      <w:pPr>
        <w:pStyle w:val="ActionDocument"/>
        <w:spacing w:before="0"/>
        <w:ind w:left="720"/>
        <w:rPr>
          <w:lang w:val="en-US"/>
        </w:rPr>
      </w:pPr>
      <w:r w:rsidRPr="0092695A">
        <w:t>Ultimately the OSS will result in improved effectiveness and efficiency in the administrative proceeding, savings of time and resources for business and for the administration and increased transparency in business to government relations.</w:t>
      </w:r>
    </w:p>
    <w:p w:rsidR="00252DA0" w:rsidRPr="0092695A" w:rsidRDefault="005E4C45">
      <w:pPr>
        <w:pStyle w:val="ActionDocument"/>
        <w:ind w:left="720"/>
      </w:pPr>
      <w:r w:rsidRPr="0092695A">
        <w:t>This activity will be implemented by the Cabinet of the Deputy Prime Minister for Economic Affairs</w:t>
      </w:r>
    </w:p>
    <w:p w:rsidR="0006430D" w:rsidRPr="0092695A" w:rsidRDefault="0006430D" w:rsidP="0006430D">
      <w:pPr>
        <w:pStyle w:val="BodyText"/>
        <w:shd w:val="clear" w:color="auto" w:fill="BFBFBF" w:themeFill="background1" w:themeFillShade="BF"/>
        <w:outlineLvl w:val="0"/>
        <w:rPr>
          <w:rFonts w:ascii="Times New Roman" w:hAnsi="Times New Roman" w:cs="Times New Roman"/>
          <w:bCs/>
          <w:smallCaps/>
          <w:szCs w:val="22"/>
          <w:lang w:val="en-GB"/>
        </w:rPr>
      </w:pPr>
      <w:r w:rsidRPr="0092695A">
        <w:rPr>
          <w:rFonts w:ascii="Times New Roman" w:hAnsi="Times New Roman" w:cs="Times New Roman"/>
          <w:bCs/>
          <w:smallCaps/>
          <w:szCs w:val="22"/>
          <w:lang w:val="en-GB"/>
        </w:rPr>
        <w:t xml:space="preserve">Objective 2: </w:t>
      </w:r>
      <w:r w:rsidRPr="0092695A">
        <w:rPr>
          <w:rFonts w:ascii="Times New Roman" w:hAnsi="Times New Roman" w:cs="Times New Roman"/>
          <w:bCs/>
          <w:iCs/>
          <w:szCs w:val="22"/>
        </w:rPr>
        <w:t>To improve the quality and availability of statistical data and enhance their use in development and coordination of public policies.</w:t>
      </w:r>
    </w:p>
    <w:p w:rsidR="0006430D" w:rsidRPr="0092695A" w:rsidRDefault="0006430D" w:rsidP="0006430D">
      <w:pPr>
        <w:pStyle w:val="BodyText"/>
        <w:shd w:val="clear" w:color="auto" w:fill="BFBFBF" w:themeFill="background1" w:themeFillShade="BF"/>
        <w:spacing w:after="240"/>
        <w:outlineLvl w:val="0"/>
        <w:rPr>
          <w:rFonts w:ascii="Times New Roman" w:hAnsi="Times New Roman" w:cs="Times New Roman"/>
          <w:bCs/>
          <w:smallCaps/>
          <w:szCs w:val="22"/>
          <w:lang w:val="en-GB"/>
        </w:rPr>
      </w:pPr>
      <w:r w:rsidRPr="0092695A">
        <w:rPr>
          <w:rFonts w:ascii="Times New Roman" w:hAnsi="Times New Roman" w:cs="Times New Roman"/>
          <w:bCs/>
          <w:smallCaps/>
          <w:szCs w:val="22"/>
          <w:lang w:val="en-GB"/>
        </w:rPr>
        <w:t>(STATISTICS)</w:t>
      </w:r>
    </w:p>
    <w:p w:rsidR="00252DA0" w:rsidRPr="0092695A" w:rsidRDefault="0092695A">
      <w:pPr>
        <w:pStyle w:val="ActionDocument"/>
        <w:spacing w:before="240"/>
        <w:rPr>
          <w:b/>
        </w:rPr>
      </w:pPr>
      <w:r w:rsidRPr="0092695A">
        <w:rPr>
          <w:b/>
          <w:bCs/>
          <w:iCs/>
        </w:rPr>
        <w:t xml:space="preserve">Result 2.1  – Improved alignment with the </w:t>
      </w:r>
      <w:r w:rsidRPr="0092695A">
        <w:rPr>
          <w:b/>
          <w:bCs/>
          <w:i/>
          <w:iCs/>
        </w:rPr>
        <w:t>acquis</w:t>
      </w:r>
      <w:r w:rsidRPr="0092695A">
        <w:rPr>
          <w:b/>
          <w:bCs/>
          <w:iCs/>
        </w:rPr>
        <w:t xml:space="preserve"> in the field of macro-economic, business and social statistics</w:t>
      </w:r>
      <w:r w:rsidRPr="0092695A">
        <w:rPr>
          <w:b/>
        </w:rPr>
        <w:t xml:space="preserve"> / </w:t>
      </w:r>
      <w:r w:rsidR="006031A3" w:rsidRPr="0092695A">
        <w:rPr>
          <w:b/>
        </w:rPr>
        <w:t xml:space="preserve">Activity </w:t>
      </w:r>
      <w:r w:rsidR="007677CF" w:rsidRPr="0092695A">
        <w:rPr>
          <w:b/>
        </w:rPr>
        <w:t>2.1</w:t>
      </w:r>
      <w:r w:rsidR="0002225D" w:rsidRPr="0092695A">
        <w:rPr>
          <w:b/>
          <w:bCs/>
          <w:iCs/>
        </w:rPr>
        <w:t xml:space="preserve">- </w:t>
      </w:r>
      <w:r w:rsidR="00597C39" w:rsidRPr="0092695A">
        <w:rPr>
          <w:b/>
        </w:rPr>
        <w:t xml:space="preserve">Alignment </w:t>
      </w:r>
      <w:r w:rsidR="00354E9F" w:rsidRPr="0092695A">
        <w:rPr>
          <w:b/>
        </w:rPr>
        <w:t xml:space="preserve">with the </w:t>
      </w:r>
      <w:r w:rsidR="0068730F" w:rsidRPr="0092695A">
        <w:rPr>
          <w:b/>
          <w:i/>
        </w:rPr>
        <w:t>a</w:t>
      </w:r>
      <w:r w:rsidR="00354E9F" w:rsidRPr="0092695A">
        <w:rPr>
          <w:b/>
          <w:i/>
        </w:rPr>
        <w:t>cquis</w:t>
      </w:r>
      <w:r w:rsidR="00354E9F" w:rsidRPr="0092695A">
        <w:rPr>
          <w:b/>
        </w:rPr>
        <w:t xml:space="preserve"> in the field of macro-economic, business and social statistics</w:t>
      </w:r>
    </w:p>
    <w:p w:rsidR="00252DA0" w:rsidRPr="0092695A" w:rsidRDefault="007677CF" w:rsidP="00597C39">
      <w:pPr>
        <w:pStyle w:val="ActionDocument"/>
        <w:ind w:left="360"/>
        <w:rPr>
          <w:lang w:eastAsia="en-GB"/>
        </w:rPr>
      </w:pPr>
      <w:r w:rsidRPr="0092695A">
        <w:t>Th</w:t>
      </w:r>
      <w:r w:rsidR="00597C39" w:rsidRPr="0092695A">
        <w:t>is activity involves</w:t>
      </w:r>
      <w:r w:rsidRPr="0092695A">
        <w:t>:</w:t>
      </w:r>
    </w:p>
    <w:p w:rsidR="00AA4C59" w:rsidRPr="0092695A" w:rsidRDefault="005E4C45" w:rsidP="00597C39">
      <w:pPr>
        <w:pStyle w:val="ActionDocument"/>
        <w:numPr>
          <w:ilvl w:val="0"/>
          <w:numId w:val="65"/>
        </w:numPr>
        <w:spacing w:after="0"/>
        <w:rPr>
          <w:lang w:eastAsia="en-GB"/>
        </w:rPr>
      </w:pPr>
      <w:r w:rsidRPr="0092695A">
        <w:rPr>
          <w:lang w:eastAsia="en-GB"/>
        </w:rPr>
        <w:t xml:space="preserve">Further improvement of the national accounts, in particular achieving full alignment with ESA 2010. Special focus will be put on EDP notifications, namely: delineation of Gross Capital Formation, transmission according ESA2010, assessment of the availability and quality of data necessary for production of Government Finance Statistics on quarterly level, development of a methodological knowledge for calculation of </w:t>
      </w:r>
      <w:r w:rsidR="006D7F93" w:rsidRPr="0092695A">
        <w:rPr>
          <w:lang w:eastAsia="en-GB"/>
        </w:rPr>
        <w:t>(</w:t>
      </w:r>
      <w:r w:rsidRPr="0092695A">
        <w:rPr>
          <w:lang w:eastAsia="en-GB"/>
        </w:rPr>
        <w:t>quarterly</w:t>
      </w:r>
      <w:r w:rsidR="006D7F93" w:rsidRPr="0092695A">
        <w:rPr>
          <w:lang w:eastAsia="en-GB"/>
        </w:rPr>
        <w:t>)</w:t>
      </w:r>
      <w:r w:rsidRPr="0092695A">
        <w:rPr>
          <w:lang w:eastAsia="en-GB"/>
        </w:rPr>
        <w:t xml:space="preserve"> General Government Accounts</w:t>
      </w:r>
      <w:r w:rsidR="006D7F93" w:rsidRPr="0092695A">
        <w:rPr>
          <w:lang w:eastAsia="en-GB"/>
        </w:rPr>
        <w:t xml:space="preserve"> and delimitation of the General Government Sector</w:t>
      </w:r>
      <w:r w:rsidRPr="0092695A">
        <w:rPr>
          <w:lang w:eastAsia="en-GB"/>
        </w:rPr>
        <w:t>, calculation of quarterly General Government Accounts, development of a methodological knowledge for preparation of EDP notification tables, preparation of ESA 2010 based EDP Inventory</w:t>
      </w:r>
      <w:r w:rsidR="00C32B6D" w:rsidRPr="0092695A">
        <w:rPr>
          <w:lang w:eastAsia="en-GB"/>
        </w:rPr>
        <w:t xml:space="preserve"> as well as </w:t>
      </w:r>
      <w:r w:rsidR="006B6F31" w:rsidRPr="0092695A">
        <w:rPr>
          <w:lang w:eastAsia="en-GB"/>
        </w:rPr>
        <w:t xml:space="preserve">data </w:t>
      </w:r>
      <w:r w:rsidR="00C32B6D" w:rsidRPr="0092695A">
        <w:rPr>
          <w:lang w:eastAsia="en-GB"/>
        </w:rPr>
        <w:t>transmission to Eurostat.</w:t>
      </w:r>
    </w:p>
    <w:p w:rsidR="00AA4C59" w:rsidRPr="0092695A" w:rsidRDefault="005E4C45" w:rsidP="009E1D9B">
      <w:pPr>
        <w:pStyle w:val="ActionDocument"/>
        <w:numPr>
          <w:ilvl w:val="0"/>
          <w:numId w:val="65"/>
        </w:numPr>
        <w:spacing w:after="0"/>
        <w:rPr>
          <w:lang w:eastAsia="en-GB"/>
        </w:rPr>
      </w:pPr>
      <w:r w:rsidRPr="0092695A">
        <w:rPr>
          <w:lang w:eastAsia="en-GB"/>
        </w:rPr>
        <w:t xml:space="preserve">Further alignment of the sector statistics with the EUROSTAT standards with primary focus on business and social statistics. Support will be given for designing methodology and methodological instruments, collection, processing and analysing of the in all sectors of NACE, implementation of CIS ad hoc modules, transport statistics providing indicators for green and inclusive transport, renewable energy sources, CVTS2021, exploring the usage of administrative and other data sources in the field of business and social statistics. </w:t>
      </w:r>
    </w:p>
    <w:p w:rsidR="00AA4C59" w:rsidRPr="0092695A" w:rsidRDefault="005E4C45" w:rsidP="00857187">
      <w:pPr>
        <w:pStyle w:val="ActionDocument"/>
        <w:numPr>
          <w:ilvl w:val="0"/>
          <w:numId w:val="65"/>
        </w:numPr>
        <w:spacing w:after="0"/>
      </w:pPr>
      <w:r w:rsidRPr="0092695A">
        <w:rPr>
          <w:lang w:eastAsia="en-GB"/>
        </w:rPr>
        <w:t xml:space="preserve">Support for the preparation of the population and housing census </w:t>
      </w:r>
      <w:r w:rsidR="00AA4C59" w:rsidRPr="0092695A">
        <w:rPr>
          <w:lang w:eastAsia="en-GB"/>
        </w:rPr>
        <w:t>202</w:t>
      </w:r>
      <w:r w:rsidRPr="0092695A">
        <w:rPr>
          <w:lang w:eastAsia="en-GB"/>
        </w:rPr>
        <w:t>1</w:t>
      </w:r>
      <w:r w:rsidR="00AA4C59" w:rsidRPr="0092695A">
        <w:rPr>
          <w:lang w:eastAsia="en-GB"/>
        </w:rPr>
        <w:t xml:space="preserve">. </w:t>
      </w:r>
      <w:r w:rsidR="00C32B6D" w:rsidRPr="0092695A">
        <w:rPr>
          <w:lang w:eastAsia="en-GB"/>
        </w:rPr>
        <w:t xml:space="preserve">The overall objective is to prepare a census for the country as the last one was cancelled. </w:t>
      </w:r>
      <w:r w:rsidR="00AA4C59" w:rsidRPr="0092695A">
        <w:rPr>
          <w:lang w:eastAsia="en-GB"/>
        </w:rPr>
        <w:t>The activity encompasses the provision of methodological and policy-oriented</w:t>
      </w:r>
      <w:r w:rsidR="00AA6238" w:rsidRPr="0092695A">
        <w:rPr>
          <w:lang w:eastAsia="en-GB"/>
        </w:rPr>
        <w:t xml:space="preserve">support </w:t>
      </w:r>
      <w:r w:rsidR="00AA4C59" w:rsidRPr="0092695A">
        <w:rPr>
          <w:lang w:eastAsia="en-GB"/>
        </w:rPr>
        <w:t xml:space="preserve">at the stage of </w:t>
      </w:r>
      <w:r w:rsidR="00AA6238" w:rsidRPr="0092695A">
        <w:t xml:space="preserve">preparation of the Census. </w:t>
      </w:r>
      <w:r w:rsidR="00AA4C59" w:rsidRPr="0092695A">
        <w:t xml:space="preserve">Focus will be given on </w:t>
      </w:r>
      <w:r w:rsidR="00AA6238" w:rsidRPr="0092695A">
        <w:t xml:space="preserve">determination of the method of enumeration, definition of the units of enumeration and their compliance with the CES Recommendations on Population and Housing Censuses and the EU Regulation on Population and Housing Census. </w:t>
      </w:r>
    </w:p>
    <w:p w:rsidR="007677CF" w:rsidRPr="0092695A" w:rsidRDefault="0092695A" w:rsidP="005A414A">
      <w:pPr>
        <w:pStyle w:val="ActionDocument"/>
        <w:spacing w:after="0"/>
        <w:rPr>
          <w:b/>
        </w:rPr>
      </w:pPr>
      <w:r w:rsidRPr="0092695A">
        <w:rPr>
          <w:b/>
          <w:bCs/>
          <w:iCs/>
        </w:rPr>
        <w:t>Result 2.2 –</w:t>
      </w:r>
      <w:r w:rsidR="009A43B2" w:rsidRPr="0092695A">
        <w:rPr>
          <w:b/>
          <w:bCs/>
          <w:iCs/>
        </w:rPr>
        <w:t xml:space="preserve">Strengthenedcapacity </w:t>
      </w:r>
      <w:r w:rsidRPr="0092695A">
        <w:rPr>
          <w:b/>
          <w:bCs/>
          <w:iCs/>
        </w:rPr>
        <w:t xml:space="preserve">in production and dissemination of EU compliant statistics is </w:t>
      </w:r>
      <w:r w:rsidRPr="0092695A">
        <w:rPr>
          <w:b/>
        </w:rPr>
        <w:t xml:space="preserve">/ </w:t>
      </w:r>
      <w:r w:rsidR="006031A3" w:rsidRPr="0092695A">
        <w:rPr>
          <w:b/>
        </w:rPr>
        <w:t xml:space="preserve">Activity </w:t>
      </w:r>
      <w:r w:rsidR="007677CF" w:rsidRPr="0092695A">
        <w:rPr>
          <w:b/>
        </w:rPr>
        <w:t xml:space="preserve">2.2 </w:t>
      </w:r>
      <w:r w:rsidR="00D2733B" w:rsidRPr="0092695A">
        <w:rPr>
          <w:b/>
        </w:rPr>
        <w:t>-</w:t>
      </w:r>
      <w:r w:rsidR="00A606B5" w:rsidRPr="0092695A">
        <w:rPr>
          <w:b/>
        </w:rPr>
        <w:t xml:space="preserve"> Upgrading of the </w:t>
      </w:r>
      <w:r w:rsidR="007677CF" w:rsidRPr="0092695A">
        <w:rPr>
          <w:b/>
        </w:rPr>
        <w:t xml:space="preserve">IT system </w:t>
      </w:r>
      <w:r w:rsidR="00A606B5" w:rsidRPr="0092695A">
        <w:rPr>
          <w:b/>
        </w:rPr>
        <w:t xml:space="preserve">for production and dissemination of EU compliant statistics </w:t>
      </w:r>
    </w:p>
    <w:p w:rsidR="00252DA0" w:rsidRPr="0092695A" w:rsidRDefault="007677CF" w:rsidP="005A414A">
      <w:pPr>
        <w:pStyle w:val="ActionDocument"/>
        <w:spacing w:after="0"/>
        <w:ind w:left="720"/>
        <w:rPr>
          <w:lang w:eastAsia="en-GB"/>
        </w:rPr>
      </w:pPr>
      <w:r w:rsidRPr="0092695A">
        <w:t>Th</w:t>
      </w:r>
      <w:r w:rsidR="005A414A" w:rsidRPr="0092695A">
        <w:t xml:space="preserve">is activity focuses on </w:t>
      </w:r>
      <w:r w:rsidR="005E4C45" w:rsidRPr="0092695A">
        <w:t xml:space="preserve">re-engineering of the existing IT system and </w:t>
      </w:r>
      <w:r w:rsidR="005E4C45" w:rsidRPr="0092695A">
        <w:rPr>
          <w:lang w:eastAsia="en-GB"/>
        </w:rPr>
        <w:t xml:space="preserve">upgrading the IT infrastructure (hardware, commercial software and customized software) to ensure more efficiency and reliability in data processing </w:t>
      </w:r>
      <w:r w:rsidR="005E4C45" w:rsidRPr="0092695A">
        <w:t xml:space="preserve">(editing, imputation, validation, aggregation, analysis and output preparation). In addition, the activity will also improve the dissemination of statistics through the SSO website by applying modern dissemination </w:t>
      </w:r>
      <w:r w:rsidR="00E80430" w:rsidRPr="0092695A">
        <w:rPr>
          <w:lang w:val="en-AU"/>
        </w:rPr>
        <w:t>methods</w:t>
      </w:r>
      <w:r w:rsidR="005E4C45" w:rsidRPr="0092695A">
        <w:rPr>
          <w:lang w:val="bg-BG"/>
        </w:rPr>
        <w:t>, which</w:t>
      </w:r>
      <w:r w:rsidR="005E4C45" w:rsidRPr="0092695A">
        <w:t xml:space="preserve"> are tailored</w:t>
      </w:r>
      <w:r w:rsidR="005E4C45" w:rsidRPr="0092695A">
        <w:rPr>
          <w:lang w:val="bg-BG"/>
        </w:rPr>
        <w:t xml:space="preserve"> to</w:t>
      </w:r>
      <w:r w:rsidR="005E4C45" w:rsidRPr="0092695A">
        <w:rPr>
          <w:lang w:val="en-JM"/>
        </w:rPr>
        <w:t xml:space="preserve"> meet</w:t>
      </w:r>
      <w:r w:rsidR="005E4C45" w:rsidRPr="0092695A">
        <w:rPr>
          <w:bCs/>
          <w:lang w:val="en-AU"/>
        </w:rPr>
        <w:t>client</w:t>
      </w:r>
      <w:r w:rsidR="00476363" w:rsidRPr="0092695A">
        <w:rPr>
          <w:bCs/>
        </w:rPr>
        <w:t>s</w:t>
      </w:r>
      <w:r w:rsidR="005E4C45" w:rsidRPr="0092695A">
        <w:rPr>
          <w:bCs/>
          <w:lang w:val="bg-BG"/>
        </w:rPr>
        <w:t>' specific</w:t>
      </w:r>
      <w:r w:rsidR="005E4C45" w:rsidRPr="0092695A">
        <w:t xml:space="preserve">needs and queries (different products for different user groups) </w:t>
      </w:r>
      <w:r w:rsidR="005E4C45" w:rsidRPr="0092695A">
        <w:rPr>
          <w:lang w:eastAsia="en-GB"/>
        </w:rPr>
        <w:t xml:space="preserve"> as well as to provide information in more attractive and comprehensive forms (charts, animation, etc).</w:t>
      </w:r>
    </w:p>
    <w:p w:rsidR="004E1C8C" w:rsidRPr="0092695A" w:rsidRDefault="004E1C8C" w:rsidP="005A414A">
      <w:pPr>
        <w:pStyle w:val="ActionDocument"/>
        <w:spacing w:after="0"/>
        <w:ind w:left="720"/>
        <w:rPr>
          <w:lang w:eastAsia="en-GB"/>
        </w:rPr>
      </w:pPr>
    </w:p>
    <w:p w:rsidR="0092695A" w:rsidRPr="0092695A" w:rsidRDefault="0092695A" w:rsidP="005A414A">
      <w:pPr>
        <w:pStyle w:val="ActionDocument"/>
        <w:spacing w:after="0"/>
        <w:ind w:left="720"/>
        <w:rPr>
          <w:lang w:eastAsia="en-GB"/>
        </w:rPr>
      </w:pPr>
    </w:p>
    <w:p w:rsidR="004E1C8C" w:rsidRPr="0092695A" w:rsidRDefault="004E1C8C" w:rsidP="009E1D9B">
      <w:pPr>
        <w:shd w:val="clear" w:color="auto" w:fill="BFBFBF" w:themeFill="background1" w:themeFillShade="BF"/>
        <w:autoSpaceDE w:val="0"/>
        <w:autoSpaceDN w:val="0"/>
        <w:adjustRightInd w:val="0"/>
        <w:spacing w:before="0" w:after="0"/>
        <w:rPr>
          <w:rFonts w:ascii="Times New Roman" w:hAnsi="Times New Roman" w:cs="Times New Roman"/>
          <w:b/>
          <w:bCs/>
          <w:lang w:val="en-US"/>
        </w:rPr>
      </w:pPr>
      <w:r w:rsidRPr="0092695A">
        <w:rPr>
          <w:rFonts w:ascii="Times New Roman" w:hAnsi="Times New Roman" w:cs="Times New Roman"/>
          <w:b/>
          <w:bCs/>
          <w:lang w:val="en-US"/>
        </w:rPr>
        <w:t>Horizontal - Evaluation</w:t>
      </w:r>
    </w:p>
    <w:p w:rsidR="004E1C8C" w:rsidRPr="0092695A" w:rsidRDefault="004E1C8C" w:rsidP="004E1C8C">
      <w:pPr>
        <w:rPr>
          <w:rFonts w:ascii="Times New Roman" w:hAnsi="Times New Roman" w:cs="Times New Roman"/>
          <w:lang w:val="en-US"/>
        </w:rPr>
      </w:pPr>
      <w:r w:rsidRPr="0092695A">
        <w:rPr>
          <w:rFonts w:ascii="Times New Roman" w:hAnsi="Times New Roman" w:cs="Times New Roman"/>
          <w:iCs/>
          <w:lang w:val="en-US"/>
        </w:rPr>
        <w:t xml:space="preserve">The European Commission will carry out an ex-post evaluation for this Action to receive an independent assessment of the relevance, efficiency, effectiveness, impact and sustainability of the action </w:t>
      </w:r>
    </w:p>
    <w:p w:rsidR="00252DA0" w:rsidRPr="00FE258A" w:rsidRDefault="005E4C45">
      <w:pPr>
        <w:pStyle w:val="BodyText"/>
        <w:spacing w:before="480" w:after="240"/>
        <w:outlineLvl w:val="0"/>
        <w:rPr>
          <w:rFonts w:ascii="Arial" w:hAnsi="Arial" w:cs="Arial"/>
          <w:bCs/>
          <w:smallCaps/>
          <w:szCs w:val="22"/>
          <w:lang w:val="en-GB"/>
        </w:rPr>
      </w:pPr>
      <w:r w:rsidRPr="00FE258A">
        <w:rPr>
          <w:rFonts w:ascii="Arial" w:hAnsi="Arial" w:cs="Arial"/>
          <w:bCs/>
          <w:smallCaps/>
          <w:szCs w:val="22"/>
          <w:lang w:val="en-GB"/>
        </w:rPr>
        <w:t xml:space="preserve">Risks </w:t>
      </w:r>
    </w:p>
    <w:p w:rsidR="00252DA0" w:rsidRDefault="005E4C45">
      <w:pPr>
        <w:spacing w:after="0"/>
        <w:ind w:right="130"/>
        <w:rPr>
          <w:rFonts w:ascii="Times New Roman" w:hAnsi="Times New Roman" w:cs="Times New Roman"/>
        </w:rPr>
      </w:pPr>
      <w:r>
        <w:rPr>
          <w:rFonts w:ascii="Times New Roman" w:hAnsi="Times New Roman" w:cs="Times New Roman"/>
        </w:rPr>
        <w:t>Prolonged political crisis would impact negatively and strongly on the country's commitment to the adoption and implementation of the new PAR Strategy. This risk is beyond the scope of the parties involved in the implementation of the action. The elections of 11 December 2016 give some chances for overcoming the already 3-year acute political crisis. Yet, the risk continues to be present.</w:t>
      </w:r>
    </w:p>
    <w:p w:rsidR="00252DA0" w:rsidRDefault="005E4C45">
      <w:pPr>
        <w:pStyle w:val="ActionDocument"/>
        <w:rPr>
          <w:b/>
        </w:rPr>
      </w:pPr>
      <w:r>
        <w:t>Serious concerns regarding the independence of the public administration and the risk of political interference and corruption have been expressed by many sources. There are also question marks on the real possibility of whistle-blowers to effectively exercise their rights as well as on the ability of the CSOs to actually perform watcher roles. In addition, the low public confidence in the administration and in decision-making process requires constant and consistent political investments and political consensus, which at this stage is not evident.</w:t>
      </w:r>
    </w:p>
    <w:p w:rsidR="00252DA0" w:rsidRDefault="005E4C45">
      <w:pPr>
        <w:pStyle w:val="ActionDocument"/>
      </w:pPr>
      <w:r>
        <w:t>Mitigation measure in this field mainly consists in enhancing the policy dialogue between the Commission and the country and building the capacity of the state bodies for factual implementation of the achievement of EU standards. However, political instability, as in the period 2015-2016, risks undermining the reform process and making the policy dialogue ineffective.</w:t>
      </w:r>
    </w:p>
    <w:p w:rsidR="00003180" w:rsidRDefault="00003180">
      <w:pPr>
        <w:pStyle w:val="ActionDocument"/>
      </w:pPr>
      <w:r>
        <w:t xml:space="preserve">The involvement of the civil society in monitoring PAR and the implementation of the PAR Strategy has also the potential to mitigate the risks of political interference and pressure over the public administration. Six grants have already been given through the Civil Society Facility for monitoring and supporting various aspects of the PAR and this kind of support to CSOs will be extended in future. </w:t>
      </w:r>
    </w:p>
    <w:p w:rsidR="00252DA0" w:rsidRPr="00FE258A" w:rsidRDefault="005E4C45" w:rsidP="009E1D9B">
      <w:pPr>
        <w:pStyle w:val="BodyText"/>
        <w:spacing w:before="480" w:after="120"/>
        <w:outlineLvl w:val="0"/>
        <w:rPr>
          <w:rFonts w:ascii="Arial" w:hAnsi="Arial" w:cs="Arial"/>
          <w:bCs/>
          <w:smallCaps/>
          <w:szCs w:val="22"/>
          <w:lang w:val="en-GB"/>
        </w:rPr>
      </w:pPr>
      <w:r w:rsidRPr="00FE258A">
        <w:rPr>
          <w:rFonts w:ascii="Arial" w:hAnsi="Arial" w:cs="Arial"/>
          <w:bCs/>
          <w:smallCaps/>
          <w:szCs w:val="22"/>
          <w:lang w:val="en-GB"/>
        </w:rPr>
        <w:t>Conditions for implementation</w:t>
      </w:r>
    </w:p>
    <w:p w:rsidR="00252DA0" w:rsidRDefault="005E4C45">
      <w:pPr>
        <w:pStyle w:val="ActionDocument"/>
      </w:pPr>
      <w:r>
        <w:t xml:space="preserve">The main </w:t>
      </w:r>
      <w:r w:rsidR="00081DD8">
        <w:t>pre-</w:t>
      </w:r>
      <w:r>
        <w:t xml:space="preserve">condition for implementation of this AD is the </w:t>
      </w:r>
      <w:r w:rsidR="00081DD8">
        <w:t xml:space="preserve">finalisation and </w:t>
      </w:r>
      <w:r>
        <w:t>adoption of the PAR Strategy 2017–2022</w:t>
      </w:r>
      <w:r w:rsidR="004C7780">
        <w:t xml:space="preserve"> in line with the EU principles of the Public Administration</w:t>
      </w:r>
      <w:r>
        <w:t xml:space="preserve">. </w:t>
      </w:r>
      <w:r w:rsidR="004C7780">
        <w:t>An advanced draft is already under consultation with the Commission services and national stakeholders</w:t>
      </w:r>
      <w:r>
        <w:t xml:space="preserve"> and </w:t>
      </w:r>
      <w:r w:rsidR="004C7780">
        <w:t xml:space="preserve">the strategy is expected to </w:t>
      </w:r>
      <w:r w:rsidR="008B3E82">
        <w:t xml:space="preserve">be </w:t>
      </w:r>
      <w:r>
        <w:t>adopted by the end of the 2017.</w:t>
      </w:r>
    </w:p>
    <w:p w:rsidR="008634EE" w:rsidRDefault="008634EE">
      <w:pPr>
        <w:pStyle w:val="ActionDocument"/>
        <w:rPr>
          <w:bCs/>
        </w:rPr>
      </w:pPr>
      <w:r>
        <w:t>In addition, the implementation of the PAR Strategy</w:t>
      </w:r>
      <w:r w:rsidR="00355A82">
        <w:t xml:space="preserve"> will be subject to extended monitoring by the Commission services in coordination with the national stakeholders. </w:t>
      </w:r>
      <w:r w:rsidR="00823C8E">
        <w:t xml:space="preserve">Lack of commitment to the implementation of the strategy, indicated by lack of resources for the strategy implementation or big delays in achieving the objectives, targets and indicators of the strategy, may </w:t>
      </w:r>
      <w:r w:rsidR="00D1428C">
        <w:t xml:space="preserve">lead </w:t>
      </w:r>
      <w:r w:rsidR="00823C8E">
        <w:t xml:space="preserve">to a termination of this action.   </w:t>
      </w:r>
    </w:p>
    <w:p w:rsidR="00252DA0" w:rsidRPr="00FE258A" w:rsidRDefault="005E4C45">
      <w:pPr>
        <w:pStyle w:val="Heading1"/>
      </w:pPr>
      <w:r w:rsidRPr="00FE258A">
        <w:t>3. Implementation arrangements</w:t>
      </w:r>
    </w:p>
    <w:p w:rsidR="003949B2" w:rsidRPr="00857187" w:rsidRDefault="003949B2" w:rsidP="003949B2">
      <w:pPr>
        <w:spacing w:before="240"/>
        <w:rPr>
          <w:rFonts w:ascii="Arial" w:hAnsi="Arial" w:cs="Arial"/>
          <w:b/>
          <w:i/>
          <w:sz w:val="24"/>
          <w:szCs w:val="24"/>
          <w:lang w:val="en-US"/>
        </w:rPr>
      </w:pPr>
      <w:r w:rsidRPr="00857187">
        <w:rPr>
          <w:rFonts w:ascii="Arial" w:hAnsi="Arial" w:cs="Arial"/>
          <w:b/>
          <w:bCs/>
          <w:smallCaps/>
          <w:sz w:val="24"/>
          <w:szCs w:val="24"/>
          <w:lang w:val="en-US"/>
        </w:rPr>
        <w:t>Roles and responsibilities</w:t>
      </w:r>
    </w:p>
    <w:p w:rsidR="00252DA0" w:rsidRPr="001C3D6C" w:rsidRDefault="005E4C45">
      <w:pPr>
        <w:pStyle w:val="ActionDocument"/>
        <w:rPr>
          <w:iCs/>
        </w:rPr>
      </w:pPr>
      <w:r>
        <w:rPr>
          <w:iCs/>
        </w:rPr>
        <w:t xml:space="preserve">The country has developed a comprehensive and complex framework for coordination, monitoring and oversight of the sector reform </w:t>
      </w:r>
      <w:r w:rsidRPr="006F55D6">
        <w:rPr>
          <w:iCs/>
        </w:rPr>
        <w:t xml:space="preserve">processes linked to the accession agenda and the need to ensure that the policy dialogue is conducted at the appropriate levels. </w:t>
      </w:r>
    </w:p>
    <w:p w:rsidR="00252DA0" w:rsidRDefault="005E4C45">
      <w:pPr>
        <w:pStyle w:val="ActionDocument"/>
        <w:rPr>
          <w:iCs/>
        </w:rPr>
      </w:pPr>
      <w:r w:rsidRPr="001C3D6C">
        <w:rPr>
          <w:iCs/>
        </w:rPr>
        <w:t xml:space="preserve">The Ministry of Information Society and Administration (MISA) </w:t>
      </w:r>
      <w:r w:rsidRPr="006F55D6">
        <w:rPr>
          <w:iCs/>
        </w:rPr>
        <w:t>is in charge of the coordination of the policy making processes in the PAR area and of ensuring compliance with the Government’s work programme. In this sense MISA will play the lead role in the PAR-related activities while the State Statistical Office</w:t>
      </w:r>
      <w:r w:rsidRPr="001C3D6C">
        <w:rPr>
          <w:iCs/>
        </w:rPr>
        <w:t xml:space="preserve"> (SSO) will be naturally leading the statistics-related activities.</w:t>
      </w:r>
    </w:p>
    <w:p w:rsidR="00252DA0" w:rsidRPr="001C3D6C" w:rsidRDefault="005E4C45">
      <w:pPr>
        <w:pStyle w:val="ActionDocument"/>
      </w:pPr>
      <w:r w:rsidRPr="001C3D6C">
        <w:rPr>
          <w:iCs/>
        </w:rPr>
        <w:t>The Secretariat for European Affairs</w:t>
      </w:r>
      <w:r w:rsidRPr="006F55D6">
        <w:rPr>
          <w:iCs/>
        </w:rPr>
        <w:t xml:space="preserve"> is responsible for the overall monitoring and evaluation process as well as for ensuring that EU and other </w:t>
      </w:r>
      <w:r w:rsidR="00060FA5" w:rsidRPr="006F55D6">
        <w:rPr>
          <w:iCs/>
        </w:rPr>
        <w:t xml:space="preserve">donor </w:t>
      </w:r>
      <w:r w:rsidRPr="006F55D6">
        <w:rPr>
          <w:iCs/>
        </w:rPr>
        <w:t>funds are used to foster the Governmen</w:t>
      </w:r>
      <w:r w:rsidRPr="001C3D6C">
        <w:rPr>
          <w:iCs/>
        </w:rPr>
        <w:t xml:space="preserve">t’s accession aspirations and to facilitate the implementation of the National Programme for the Adoption of the </w:t>
      </w:r>
      <w:r w:rsidR="0068730F" w:rsidRPr="001C3D6C">
        <w:rPr>
          <w:iCs/>
        </w:rPr>
        <w:t>a</w:t>
      </w:r>
      <w:r w:rsidRPr="006F55D6">
        <w:rPr>
          <w:iCs/>
        </w:rPr>
        <w:t>cquis</w:t>
      </w:r>
      <w:r w:rsidRPr="006C14D1">
        <w:rPr>
          <w:iCs/>
        </w:rPr>
        <w:t xml:space="preserve">, </w:t>
      </w:r>
      <w:r w:rsidR="004D07D5" w:rsidRPr="001C3D6C">
        <w:rPr>
          <w:iCs/>
        </w:rPr>
        <w:t>including</w:t>
      </w:r>
      <w:r w:rsidRPr="001C3D6C">
        <w:rPr>
          <w:iCs/>
        </w:rPr>
        <w:t xml:space="preserve"> PAR and statistics targeted by this Action</w:t>
      </w:r>
    </w:p>
    <w:p w:rsidR="00252DA0" w:rsidRPr="006C14D1" w:rsidRDefault="005E4C45">
      <w:pPr>
        <w:pStyle w:val="ActionDocument"/>
        <w:rPr>
          <w:iCs/>
        </w:rPr>
      </w:pPr>
      <w:r w:rsidRPr="001C3D6C">
        <w:t>At high policy level, the current coordination mechanism involves</w:t>
      </w:r>
      <w:r w:rsidRPr="001C3D6C">
        <w:rPr>
          <w:iCs/>
        </w:rPr>
        <w:t xml:space="preserve"> the Special Group on PAR</w:t>
      </w:r>
      <w:r w:rsidRPr="006F55D6">
        <w:rPr>
          <w:iCs/>
        </w:rPr>
        <w:t xml:space="preserve">, the </w:t>
      </w:r>
      <w:r w:rsidRPr="001C3D6C">
        <w:rPr>
          <w:iCs/>
        </w:rPr>
        <w:t>Commission for Political System</w:t>
      </w:r>
      <w:r w:rsidRPr="006F55D6">
        <w:rPr>
          <w:iCs/>
        </w:rPr>
        <w:t xml:space="preserve"> and the </w:t>
      </w:r>
      <w:r w:rsidRPr="001C3D6C">
        <w:rPr>
          <w:iCs/>
        </w:rPr>
        <w:t>Special Committee for PAR</w:t>
      </w:r>
      <w:r w:rsidRPr="006F55D6">
        <w:rPr>
          <w:iCs/>
        </w:rPr>
        <w:t>.</w:t>
      </w:r>
    </w:p>
    <w:p w:rsidR="00252DA0" w:rsidRDefault="005E4C45">
      <w:pPr>
        <w:pStyle w:val="ActionDocument"/>
      </w:pPr>
      <w:r w:rsidRPr="001C3D6C">
        <w:t xml:space="preserve">The Special Group on PAR is co-chaired by the Government and the EC. The dialogue between the two parties occurs </w:t>
      </w:r>
      <w:r w:rsidR="002715BE">
        <w:t>usually once</w:t>
      </w:r>
      <w:r w:rsidRPr="001C3D6C">
        <w:t>a year between relevant Ministr</w:t>
      </w:r>
      <w:r w:rsidR="002715BE">
        <w:t>ie</w:t>
      </w:r>
      <w:r w:rsidRPr="001C3D6C">
        <w:t>s (Information Society and Administration, Justice, Local self-government, etc.) and the Commission. The Special Group’s</w:t>
      </w:r>
      <w:r>
        <w:t xml:space="preserve"> role is to monitor progress and give guidelines and recommendation for improvement under the headings of the High Level Accession Dialogue (HLAD) agenda in the PAR. </w:t>
      </w:r>
    </w:p>
    <w:p w:rsidR="00252DA0" w:rsidRDefault="005E4C45">
      <w:pPr>
        <w:pStyle w:val="ActionDocument"/>
      </w:pPr>
      <w:r>
        <w:t>Within the Government the Commission for Political System is set-up to review proposals for adopting laws, draft-laws and other regulations and general acts in the sphere of the political system and PAR. Inter alia the Commission reviews policy implementation and law enforcement; the information system; the organisation and functioning of the state bodies; the approximation of the national policy to EU policies; the approximation of the legal system with EU legislation.</w:t>
      </w:r>
    </w:p>
    <w:p w:rsidR="00252DA0" w:rsidRDefault="005E4C45">
      <w:pPr>
        <w:pStyle w:val="ActionDocument"/>
        <w:rPr>
          <w:b/>
        </w:rPr>
      </w:pPr>
      <w:r>
        <w:t xml:space="preserve">The Special Committee for PAR, chaired by the President of the Government was created for the one task to continuously follow up of the </w:t>
      </w:r>
      <w:r w:rsidR="00060FA5">
        <w:t xml:space="preserve">implementation of the </w:t>
      </w:r>
      <w:r>
        <w:t>PAR</w:t>
      </w:r>
      <w:r w:rsidR="00060FA5">
        <w:t>.</w:t>
      </w:r>
    </w:p>
    <w:p w:rsidR="00252DA0" w:rsidRPr="00A12632" w:rsidRDefault="005E4C45">
      <w:pPr>
        <w:pStyle w:val="ActionDocument"/>
      </w:pPr>
      <w:r w:rsidRPr="00A12632">
        <w:rPr>
          <w:iCs/>
        </w:rPr>
        <w:t xml:space="preserve">Within the efforts to introduce sector approach, as required by IPA II, in 2016 the </w:t>
      </w:r>
      <w:r w:rsidRPr="00A12632">
        <w:t>MISA set up a sector working group composed of representatives from 15 institutions. The task of this group is to focus the discussions on the PAR, analysing the progress, discussing new solutions, coordinating the efforts of various donors, etc. This will be the mechanism that will most of all be involved in coordination of the various aspects of this Action, ensuring and reporting on progress.</w:t>
      </w:r>
    </w:p>
    <w:p w:rsidR="00A12632" w:rsidRPr="00A12632" w:rsidRDefault="00060FA5" w:rsidP="00A12632">
      <w:pPr>
        <w:rPr>
          <w:rFonts w:ascii="Times New Roman" w:hAnsi="Times New Roman" w:cs="Times New Roman"/>
        </w:rPr>
      </w:pPr>
      <w:r w:rsidRPr="00A57F02">
        <w:rPr>
          <w:rFonts w:ascii="Times New Roman" w:hAnsi="Times New Roman" w:cs="Times New Roman"/>
        </w:rPr>
        <w:t xml:space="preserve">The national </w:t>
      </w:r>
      <w:r w:rsidR="00F3702B" w:rsidRPr="00A57F02">
        <w:rPr>
          <w:rFonts w:ascii="Times New Roman" w:hAnsi="Times New Roman" w:cs="Times New Roman"/>
        </w:rPr>
        <w:t>statistical system</w:t>
      </w:r>
      <w:r w:rsidR="00640A95" w:rsidRPr="00A57F02">
        <w:rPr>
          <w:rFonts w:ascii="Times New Roman" w:hAnsi="Times New Roman" w:cs="Times New Roman"/>
        </w:rPr>
        <w:t xml:space="preserve">, </w:t>
      </w:r>
      <w:r w:rsidR="00A12632" w:rsidRPr="00A57F02">
        <w:rPr>
          <w:rFonts w:ascii="Times New Roman" w:hAnsi="Times New Roman" w:cs="Times New Roman"/>
        </w:rPr>
        <w:t xml:space="preserve">coordinated by the SSO, </w:t>
      </w:r>
      <w:r w:rsidR="00640A95" w:rsidRPr="00A57F02">
        <w:rPr>
          <w:rFonts w:ascii="Times New Roman" w:hAnsi="Times New Roman" w:cs="Times New Roman"/>
        </w:rPr>
        <w:t>consist</w:t>
      </w:r>
      <w:r w:rsidR="00A12632" w:rsidRPr="00A57F02">
        <w:rPr>
          <w:rFonts w:ascii="Times New Roman" w:hAnsi="Times New Roman" w:cs="Times New Roman"/>
        </w:rPr>
        <w:t xml:space="preserve">s </w:t>
      </w:r>
      <w:r w:rsidR="00640A95" w:rsidRPr="00A57F02">
        <w:rPr>
          <w:rFonts w:ascii="Times New Roman" w:hAnsi="Times New Roman" w:cs="Times New Roman"/>
        </w:rPr>
        <w:t xml:space="preserve">of numerous statistical providers, </w:t>
      </w:r>
      <w:r w:rsidR="00A12632" w:rsidRPr="00A57F02">
        <w:rPr>
          <w:rFonts w:ascii="Times New Roman" w:hAnsi="Times New Roman" w:cs="Times New Roman"/>
        </w:rPr>
        <w:t xml:space="preserve">the coordination between which is gradually improving. </w:t>
      </w:r>
      <w:r w:rsidR="00A12632" w:rsidRPr="00A12632">
        <w:rPr>
          <w:rFonts w:ascii="Times New Roman" w:hAnsi="Times New Roman" w:cs="Times New Roman"/>
        </w:rPr>
        <w:t>Among the main institutions, participating in the NSS are the National Bank (NB) and the Ministry of Finance (MoF). During the past year, cooperation between SSO, NB and MoF has intensified in order to develop financial sector accounts, notably to agree on exchange of input data.</w:t>
      </w:r>
      <w:r w:rsidR="00A12632">
        <w:rPr>
          <w:rFonts w:ascii="Times New Roman" w:hAnsi="Times New Roman" w:cs="Times New Roman"/>
        </w:rPr>
        <w:t xml:space="preserve"> A new </w:t>
      </w:r>
      <w:r w:rsidR="00A12632" w:rsidRPr="00A12632">
        <w:rPr>
          <w:rFonts w:ascii="Times New Roman" w:hAnsi="Times New Roman" w:cs="Times New Roman"/>
        </w:rPr>
        <w:t>Pro</w:t>
      </w:r>
      <w:r w:rsidR="00A12632">
        <w:rPr>
          <w:rFonts w:ascii="Times New Roman" w:hAnsi="Times New Roman" w:cs="Times New Roman"/>
        </w:rPr>
        <w:t xml:space="preserve">gramme of Statistical Surveys, which </w:t>
      </w:r>
      <w:r w:rsidR="00A12632" w:rsidRPr="00A12632">
        <w:rPr>
          <w:rFonts w:ascii="Times New Roman" w:hAnsi="Times New Roman" w:cs="Times New Roman"/>
        </w:rPr>
        <w:t xml:space="preserve">aims </w:t>
      </w:r>
      <w:r w:rsidR="00A12632">
        <w:rPr>
          <w:rFonts w:ascii="Times New Roman" w:hAnsi="Times New Roman" w:cs="Times New Roman"/>
        </w:rPr>
        <w:t>at</w:t>
      </w:r>
      <w:r w:rsidR="00A12632" w:rsidRPr="00A12632">
        <w:rPr>
          <w:rFonts w:ascii="Times New Roman" w:hAnsi="Times New Roman" w:cs="Times New Roman"/>
        </w:rPr>
        <w:t xml:space="preserve"> ensur</w:t>
      </w:r>
      <w:r w:rsidR="00A12632">
        <w:rPr>
          <w:rFonts w:ascii="Times New Roman" w:hAnsi="Times New Roman" w:cs="Times New Roman"/>
        </w:rPr>
        <w:t>ing</w:t>
      </w:r>
      <w:r w:rsidR="00A12632" w:rsidRPr="00A12632">
        <w:rPr>
          <w:rFonts w:ascii="Times New Roman" w:hAnsi="Times New Roman" w:cs="Times New Roman"/>
        </w:rPr>
        <w:t xml:space="preserve"> the consistency of the statistical system, </w:t>
      </w:r>
      <w:r w:rsidR="00A12632">
        <w:rPr>
          <w:rFonts w:ascii="Times New Roman" w:hAnsi="Times New Roman" w:cs="Times New Roman"/>
        </w:rPr>
        <w:t xml:space="preserve">and covering the period 2018-2022, is </w:t>
      </w:r>
      <w:r w:rsidR="00A57F02">
        <w:rPr>
          <w:rFonts w:ascii="Times New Roman" w:hAnsi="Times New Roman" w:cs="Times New Roman"/>
        </w:rPr>
        <w:t xml:space="preserve">under </w:t>
      </w:r>
      <w:r w:rsidR="00A12632">
        <w:rPr>
          <w:rFonts w:ascii="Times New Roman" w:hAnsi="Times New Roman" w:cs="Times New Roman"/>
        </w:rPr>
        <w:t>prepar</w:t>
      </w:r>
      <w:r w:rsidR="00A57F02">
        <w:rPr>
          <w:rFonts w:ascii="Times New Roman" w:hAnsi="Times New Roman" w:cs="Times New Roman"/>
        </w:rPr>
        <w:t>ation</w:t>
      </w:r>
      <w:r w:rsidR="00A12632">
        <w:rPr>
          <w:rFonts w:ascii="Times New Roman" w:hAnsi="Times New Roman" w:cs="Times New Roman"/>
        </w:rPr>
        <w:t>to replace the current one (2013-2017).</w:t>
      </w:r>
      <w:r w:rsidR="00A12632" w:rsidRPr="00A12632">
        <w:rPr>
          <w:rFonts w:ascii="Times New Roman" w:hAnsi="Times New Roman" w:cs="Times New Roman"/>
        </w:rPr>
        <w:t xml:space="preserve"> The Programme </w:t>
      </w:r>
      <w:r w:rsidR="00A12632">
        <w:rPr>
          <w:rFonts w:ascii="Times New Roman" w:hAnsi="Times New Roman" w:cs="Times New Roman"/>
        </w:rPr>
        <w:t xml:space="preserve">will </w:t>
      </w:r>
      <w:r w:rsidR="00A12632" w:rsidRPr="00A12632">
        <w:rPr>
          <w:rFonts w:ascii="Times New Roman" w:hAnsi="Times New Roman" w:cs="Times New Roman"/>
        </w:rPr>
        <w:t xml:space="preserve">integrate the relevant statistical work of all </w:t>
      </w:r>
      <w:r w:rsidR="00A12632">
        <w:rPr>
          <w:rFonts w:ascii="Times New Roman" w:hAnsi="Times New Roman" w:cs="Times New Roman"/>
        </w:rPr>
        <w:t>national authorities, producing statistics,</w:t>
      </w:r>
      <w:r w:rsidR="00A12632" w:rsidRPr="00A12632">
        <w:rPr>
          <w:rFonts w:ascii="Times New Roman" w:hAnsi="Times New Roman" w:cs="Times New Roman"/>
        </w:rPr>
        <w:t xml:space="preserve"> and prevent production of official statistics outside of the system of state statistics. </w:t>
      </w:r>
    </w:p>
    <w:p w:rsidR="00252DA0" w:rsidRPr="00FE258A" w:rsidRDefault="005E4C45" w:rsidP="00A57F02">
      <w:pPr>
        <w:pStyle w:val="ActionDocument"/>
        <w:spacing w:before="360"/>
        <w:rPr>
          <w:rFonts w:ascii="Arial" w:hAnsi="Arial" w:cs="Arial"/>
          <w:b/>
          <w:bCs/>
          <w:smallCaps/>
        </w:rPr>
      </w:pPr>
      <w:r w:rsidRPr="00FE258A">
        <w:rPr>
          <w:rFonts w:ascii="Arial" w:hAnsi="Arial" w:cs="Arial"/>
          <w:b/>
          <w:bCs/>
          <w:smallCaps/>
        </w:rPr>
        <w:t>Implementation method(s) and type(s) of financing</w:t>
      </w:r>
    </w:p>
    <w:p w:rsidR="00252DA0" w:rsidRPr="00EC0677" w:rsidRDefault="005E4C45" w:rsidP="005D293B">
      <w:pPr>
        <w:spacing w:before="240"/>
        <w:rPr>
          <w:rFonts w:ascii="Times New Roman" w:hAnsi="Times New Roman" w:cs="Times New Roman"/>
          <w:b/>
          <w:bCs/>
          <w:smallCaps/>
        </w:rPr>
      </w:pPr>
      <w:r w:rsidRPr="00EC0677">
        <w:rPr>
          <w:rFonts w:ascii="Times New Roman" w:hAnsi="Times New Roman" w:cs="Times New Roman"/>
          <w:iCs/>
        </w:rPr>
        <w:t>This action will be implemented under direct management.</w:t>
      </w:r>
      <w:r w:rsidRPr="00EC0677">
        <w:rPr>
          <w:rFonts w:ascii="Times New Roman" w:hAnsi="Times New Roman" w:cs="Times New Roman"/>
        </w:rPr>
        <w:t>The table below provides further information on the method of implementation and the types of financing to deliver the</w:t>
      </w:r>
      <w:r w:rsidR="003949B2" w:rsidRPr="00EC0677">
        <w:rPr>
          <w:rFonts w:ascii="Times New Roman" w:hAnsi="Times New Roman" w:cs="Times New Roman"/>
        </w:rPr>
        <w:t xml:space="preserve"> expected results</w:t>
      </w:r>
      <w:r w:rsidRPr="00EC0677">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701"/>
        <w:gridCol w:w="6811"/>
      </w:tblGrid>
      <w:tr w:rsidR="00252DA0" w:rsidTr="009E1D9B">
        <w:trPr>
          <w:tblHeader/>
        </w:trPr>
        <w:tc>
          <w:tcPr>
            <w:tcW w:w="993" w:type="dxa"/>
            <w:shd w:val="clear" w:color="auto" w:fill="D4D0C8"/>
          </w:tcPr>
          <w:p w:rsidR="00252DA0" w:rsidRDefault="005E4C45">
            <w:pPr>
              <w:spacing w:after="0"/>
              <w:jc w:val="center"/>
              <w:rPr>
                <w:rFonts w:ascii="Times New Roman" w:hAnsi="Times New Roman" w:cs="Times New Roman"/>
                <w:b/>
              </w:rPr>
            </w:pPr>
            <w:r>
              <w:rPr>
                <w:rFonts w:ascii="Times New Roman" w:hAnsi="Times New Roman" w:cs="Times New Roman"/>
                <w:b/>
              </w:rPr>
              <w:t>Activity</w:t>
            </w:r>
          </w:p>
        </w:tc>
        <w:tc>
          <w:tcPr>
            <w:tcW w:w="1701" w:type="dxa"/>
            <w:shd w:val="clear" w:color="auto" w:fill="D4D0C8"/>
          </w:tcPr>
          <w:p w:rsidR="00252DA0" w:rsidRPr="005D293B" w:rsidRDefault="00EC0677">
            <w:pPr>
              <w:spacing w:after="0"/>
              <w:jc w:val="center"/>
              <w:rPr>
                <w:rFonts w:ascii="Times New Roman" w:hAnsi="Times New Roman" w:cs="Times New Roman"/>
                <w:b/>
              </w:rPr>
            </w:pPr>
            <w:r w:rsidRPr="005D293B">
              <w:rPr>
                <w:rFonts w:ascii="Times New Roman" w:hAnsi="Times New Roman" w:cs="Times New Roman"/>
                <w:b/>
              </w:rPr>
              <w:t>Contract (s)</w:t>
            </w:r>
          </w:p>
        </w:tc>
        <w:tc>
          <w:tcPr>
            <w:tcW w:w="6811" w:type="dxa"/>
            <w:shd w:val="clear" w:color="auto" w:fill="D4D0C8"/>
          </w:tcPr>
          <w:p w:rsidR="00252DA0" w:rsidRDefault="005E4C45">
            <w:pPr>
              <w:spacing w:after="0"/>
              <w:jc w:val="center"/>
              <w:rPr>
                <w:rFonts w:ascii="Times New Roman" w:hAnsi="Times New Roman" w:cs="Times New Roman"/>
                <w:b/>
              </w:rPr>
            </w:pPr>
            <w:r>
              <w:rPr>
                <w:rFonts w:ascii="Times New Roman" w:hAnsi="Times New Roman" w:cs="Times New Roman"/>
                <w:b/>
              </w:rPr>
              <w:t>Description</w:t>
            </w:r>
          </w:p>
        </w:tc>
      </w:tr>
      <w:tr w:rsidR="00252DA0" w:rsidTr="009E1D9B">
        <w:tc>
          <w:tcPr>
            <w:tcW w:w="993" w:type="dxa"/>
            <w:shd w:val="clear" w:color="auto" w:fill="auto"/>
          </w:tcPr>
          <w:p w:rsidR="00252DA0" w:rsidRDefault="00EC0677">
            <w:pPr>
              <w:pStyle w:val="ListParagraph1"/>
              <w:tabs>
                <w:tab w:val="left" w:pos="270"/>
              </w:tabs>
              <w:spacing w:before="60" w:after="60"/>
              <w:ind w:left="0"/>
              <w:jc w:val="center"/>
              <w:rPr>
                <w:rFonts w:ascii="Times New Roman" w:hAnsi="Times New Roman" w:cs="Times New Roman"/>
                <w:b/>
                <w:lang w:val="en-GB"/>
              </w:rPr>
            </w:pPr>
            <w:r>
              <w:rPr>
                <w:rFonts w:ascii="Times New Roman" w:hAnsi="Times New Roman" w:cs="Times New Roman"/>
                <w:b/>
                <w:lang w:val="en-GB"/>
              </w:rPr>
              <w:t>1.</w:t>
            </w:r>
            <w:r w:rsidR="005E4C45">
              <w:rPr>
                <w:rFonts w:ascii="Times New Roman" w:hAnsi="Times New Roman" w:cs="Times New Roman"/>
                <w:b/>
                <w:lang w:val="en-GB"/>
              </w:rPr>
              <w:t>1</w:t>
            </w:r>
          </w:p>
        </w:tc>
        <w:tc>
          <w:tcPr>
            <w:tcW w:w="1701" w:type="dxa"/>
            <w:shd w:val="clear" w:color="auto" w:fill="auto"/>
          </w:tcPr>
          <w:p w:rsidR="00252DA0" w:rsidRPr="005D293B" w:rsidRDefault="005E4C45">
            <w:pPr>
              <w:spacing w:before="60" w:after="60"/>
              <w:jc w:val="left"/>
              <w:rPr>
                <w:rFonts w:ascii="Times New Roman" w:hAnsi="Times New Roman" w:cs="Times New Roman"/>
              </w:rPr>
            </w:pPr>
            <w:r w:rsidRPr="005D293B">
              <w:rPr>
                <w:rFonts w:ascii="Times New Roman" w:hAnsi="Times New Roman" w:cs="Times New Roman"/>
              </w:rPr>
              <w:t>Support for state reorganisation</w:t>
            </w:r>
          </w:p>
          <w:p w:rsidR="00AF1D20" w:rsidRPr="005D293B" w:rsidRDefault="00AF1D20">
            <w:pPr>
              <w:spacing w:before="60" w:after="60"/>
              <w:jc w:val="left"/>
              <w:rPr>
                <w:rFonts w:ascii="Times New Roman" w:hAnsi="Times New Roman" w:cs="Times New Roman"/>
              </w:rPr>
            </w:pPr>
            <w:r w:rsidRPr="005D293B">
              <w:rPr>
                <w:rFonts w:ascii="Times New Roman" w:hAnsi="Times New Roman" w:cs="Times New Roman"/>
              </w:rPr>
              <w:t>(Services)</w:t>
            </w:r>
          </w:p>
        </w:tc>
        <w:tc>
          <w:tcPr>
            <w:tcW w:w="6811" w:type="dxa"/>
          </w:tcPr>
          <w:p w:rsidR="00252DA0" w:rsidRDefault="005E4C45" w:rsidP="005D293B">
            <w:pPr>
              <w:spacing w:before="60" w:after="60"/>
              <w:rPr>
                <w:rFonts w:ascii="Times New Roman" w:hAnsi="Times New Roman" w:cs="Times New Roman"/>
              </w:rPr>
            </w:pPr>
            <w:r>
              <w:rPr>
                <w:rFonts w:ascii="Times New Roman" w:hAnsi="Times New Roman" w:cs="Times New Roman"/>
              </w:rPr>
              <w:t>Technical assistance will provide support in conducting and elaboration of the functional analysis of the state bodies and inspection services</w:t>
            </w:r>
            <w:r w:rsidR="005D293B">
              <w:rPr>
                <w:rFonts w:ascii="Times New Roman" w:hAnsi="Times New Roman" w:cs="Times New Roman"/>
              </w:rPr>
              <w:t xml:space="preserve"> and the analysis of the current set-up of discretionary rights. Support (advise, training, coaching, mentoring) will be ensured for implementing the policy decisions, </w:t>
            </w:r>
            <w:r>
              <w:rPr>
                <w:rFonts w:ascii="Times New Roman" w:hAnsi="Times New Roman" w:cs="Times New Roman"/>
              </w:rPr>
              <w:t xml:space="preserve">for preparation of new legislation/amendments of the existing laws and </w:t>
            </w:r>
            <w:r w:rsidR="005D293B">
              <w:rPr>
                <w:rFonts w:ascii="Times New Roman" w:hAnsi="Times New Roman" w:cs="Times New Roman"/>
              </w:rPr>
              <w:t xml:space="preserve">procedural documents. </w:t>
            </w:r>
          </w:p>
        </w:tc>
      </w:tr>
      <w:tr w:rsidR="00252DA0" w:rsidTr="009E1D9B">
        <w:tc>
          <w:tcPr>
            <w:tcW w:w="993" w:type="dxa"/>
            <w:shd w:val="clear" w:color="auto" w:fill="auto"/>
          </w:tcPr>
          <w:p w:rsidR="00252DA0" w:rsidRDefault="00EC0677">
            <w:pPr>
              <w:pStyle w:val="ListParagraph1"/>
              <w:tabs>
                <w:tab w:val="left" w:pos="270"/>
              </w:tabs>
              <w:spacing w:before="60" w:after="60"/>
              <w:ind w:left="0"/>
              <w:jc w:val="center"/>
              <w:rPr>
                <w:rFonts w:ascii="Times New Roman" w:hAnsi="Times New Roman" w:cs="Times New Roman"/>
                <w:b/>
                <w:lang w:val="en-GB"/>
              </w:rPr>
            </w:pPr>
            <w:r>
              <w:rPr>
                <w:rFonts w:ascii="Times New Roman" w:hAnsi="Times New Roman" w:cs="Times New Roman"/>
                <w:b/>
                <w:lang w:val="en-GB"/>
              </w:rPr>
              <w:t>1.</w:t>
            </w:r>
            <w:r w:rsidR="005E4C45">
              <w:rPr>
                <w:rFonts w:ascii="Times New Roman" w:hAnsi="Times New Roman" w:cs="Times New Roman"/>
                <w:b/>
                <w:lang w:val="en-GB"/>
              </w:rPr>
              <w:t>2</w:t>
            </w:r>
          </w:p>
        </w:tc>
        <w:tc>
          <w:tcPr>
            <w:tcW w:w="1701" w:type="dxa"/>
            <w:shd w:val="clear" w:color="auto" w:fill="auto"/>
          </w:tcPr>
          <w:p w:rsidR="00252DA0" w:rsidRPr="005D293B" w:rsidRDefault="005E4C45">
            <w:pPr>
              <w:spacing w:before="60" w:after="60"/>
              <w:jc w:val="left"/>
              <w:rPr>
                <w:rFonts w:ascii="Times New Roman" w:hAnsi="Times New Roman" w:cs="Times New Roman"/>
              </w:rPr>
            </w:pPr>
            <w:r w:rsidRPr="005D293B">
              <w:rPr>
                <w:rFonts w:ascii="Times New Roman" w:hAnsi="Times New Roman" w:cs="Times New Roman"/>
              </w:rPr>
              <w:t xml:space="preserve">Promoting transparency </w:t>
            </w:r>
            <w:r w:rsidR="005D293B" w:rsidRPr="005D293B">
              <w:rPr>
                <w:rFonts w:ascii="Times New Roman" w:hAnsi="Times New Roman" w:cs="Times New Roman"/>
              </w:rPr>
              <w:t>&amp;</w:t>
            </w:r>
            <w:r w:rsidRPr="005D293B">
              <w:rPr>
                <w:rFonts w:ascii="Times New Roman" w:hAnsi="Times New Roman" w:cs="Times New Roman"/>
              </w:rPr>
              <w:t>accountability in public administration</w:t>
            </w:r>
          </w:p>
          <w:p w:rsidR="00AF1D20" w:rsidRPr="005D293B" w:rsidRDefault="00AF1D20">
            <w:pPr>
              <w:spacing w:before="60" w:after="60"/>
              <w:jc w:val="left"/>
              <w:rPr>
                <w:rFonts w:ascii="Times New Roman" w:hAnsi="Times New Roman" w:cs="Times New Roman"/>
              </w:rPr>
            </w:pPr>
            <w:r w:rsidRPr="005D293B">
              <w:rPr>
                <w:rFonts w:ascii="Times New Roman" w:hAnsi="Times New Roman" w:cs="Times New Roman"/>
              </w:rPr>
              <w:t>(Services)</w:t>
            </w:r>
          </w:p>
        </w:tc>
        <w:tc>
          <w:tcPr>
            <w:tcW w:w="6811" w:type="dxa"/>
          </w:tcPr>
          <w:p w:rsidR="00252DA0" w:rsidRDefault="005E4C45" w:rsidP="00CA624E">
            <w:pPr>
              <w:spacing w:before="60" w:after="60"/>
              <w:rPr>
                <w:rFonts w:ascii="Times New Roman" w:hAnsi="Times New Roman" w:cs="Times New Roman"/>
              </w:rPr>
            </w:pPr>
            <w:r>
              <w:rPr>
                <w:rFonts w:ascii="Times New Roman" w:hAnsi="Times New Roman" w:cs="Times New Roman"/>
              </w:rPr>
              <w:t>The technical assistance will support the State Commission for Prevention of Corruption</w:t>
            </w:r>
            <w:r w:rsidR="00CA624E">
              <w:rPr>
                <w:rFonts w:ascii="Times New Roman" w:hAnsi="Times New Roman" w:cs="Times New Roman"/>
              </w:rPr>
              <w:t xml:space="preserve">, </w:t>
            </w:r>
            <w:r>
              <w:rPr>
                <w:rFonts w:ascii="Times New Roman" w:hAnsi="Times New Roman" w:cs="Times New Roman"/>
              </w:rPr>
              <w:t xml:space="preserve">the Commission for Protection of the Right to Free Access to Public Information </w:t>
            </w:r>
            <w:r w:rsidR="00CA624E">
              <w:rPr>
                <w:rFonts w:ascii="Times New Roman" w:hAnsi="Times New Roman" w:cs="Times New Roman"/>
              </w:rPr>
              <w:t xml:space="preserve">and other relevant institutions </w:t>
            </w:r>
            <w:r>
              <w:rPr>
                <w:rFonts w:ascii="Times New Roman" w:hAnsi="Times New Roman" w:cs="Times New Roman"/>
              </w:rPr>
              <w:t xml:space="preserve">in implementing a wide range of activities to improve transparency, </w:t>
            </w:r>
            <w:r w:rsidR="00CA624E">
              <w:rPr>
                <w:rFonts w:ascii="Times New Roman" w:hAnsi="Times New Roman" w:cs="Times New Roman"/>
              </w:rPr>
              <w:t>accountability and integrity of state institutions</w:t>
            </w:r>
            <w:r w:rsidR="005D293B">
              <w:rPr>
                <w:rFonts w:ascii="Times New Roman" w:hAnsi="Times New Roman" w:cs="Times New Roman"/>
              </w:rPr>
              <w:t>.</w:t>
            </w:r>
          </w:p>
        </w:tc>
      </w:tr>
      <w:tr w:rsidR="00AF1D20" w:rsidTr="009E1D9B">
        <w:trPr>
          <w:trHeight w:val="1982"/>
        </w:trPr>
        <w:tc>
          <w:tcPr>
            <w:tcW w:w="993" w:type="dxa"/>
            <w:shd w:val="clear" w:color="auto" w:fill="auto"/>
          </w:tcPr>
          <w:p w:rsidR="00AF1D20" w:rsidRDefault="00AF1D20" w:rsidP="00AC2900">
            <w:pPr>
              <w:pStyle w:val="ListParagraph1"/>
              <w:tabs>
                <w:tab w:val="left" w:pos="270"/>
              </w:tabs>
              <w:spacing w:before="60" w:after="60"/>
              <w:ind w:left="0"/>
              <w:jc w:val="center"/>
              <w:rPr>
                <w:rFonts w:ascii="Times New Roman" w:hAnsi="Times New Roman" w:cs="Times New Roman"/>
                <w:b/>
                <w:lang w:val="en-GB"/>
              </w:rPr>
            </w:pPr>
            <w:r>
              <w:rPr>
                <w:rFonts w:ascii="Times New Roman" w:hAnsi="Times New Roman" w:cs="Times New Roman"/>
                <w:b/>
                <w:lang w:val="en-GB"/>
              </w:rPr>
              <w:t>1.</w:t>
            </w:r>
            <w:r w:rsidR="007E2DA9">
              <w:rPr>
                <w:rFonts w:ascii="Times New Roman" w:hAnsi="Times New Roman" w:cs="Times New Roman"/>
                <w:b/>
                <w:lang w:val="en-GB"/>
              </w:rPr>
              <w:t>3.1</w:t>
            </w:r>
          </w:p>
        </w:tc>
        <w:tc>
          <w:tcPr>
            <w:tcW w:w="1701" w:type="dxa"/>
            <w:shd w:val="clear" w:color="auto" w:fill="auto"/>
          </w:tcPr>
          <w:p w:rsidR="00AF1D20" w:rsidRPr="009E1D9B" w:rsidRDefault="00AF1D20" w:rsidP="00AF1D20">
            <w:pPr>
              <w:spacing w:before="60" w:after="0"/>
              <w:jc w:val="left"/>
              <w:rPr>
                <w:rFonts w:ascii="Times New Roman" w:hAnsi="Times New Roman" w:cs="Times New Roman"/>
              </w:rPr>
            </w:pPr>
            <w:r w:rsidRPr="009E1D9B">
              <w:rPr>
                <w:rFonts w:ascii="Times New Roman" w:hAnsi="Times New Roman" w:cs="Times New Roman"/>
              </w:rPr>
              <w:t>e-Citizens</w:t>
            </w:r>
          </w:p>
          <w:p w:rsidR="00AF1D20" w:rsidRPr="009E1D9B" w:rsidRDefault="00AF1D20" w:rsidP="00AF1D20">
            <w:pPr>
              <w:spacing w:before="60" w:after="0"/>
              <w:jc w:val="left"/>
              <w:rPr>
                <w:rFonts w:ascii="Times New Roman" w:hAnsi="Times New Roman" w:cs="Times New Roman"/>
              </w:rPr>
            </w:pPr>
          </w:p>
          <w:p w:rsidR="00AF1D20" w:rsidRPr="009E1D9B" w:rsidDel="00AF1D20" w:rsidRDefault="00AF1D20" w:rsidP="00AF1D20">
            <w:pPr>
              <w:spacing w:before="60" w:after="0"/>
              <w:jc w:val="left"/>
              <w:rPr>
                <w:rFonts w:ascii="Times New Roman" w:hAnsi="Times New Roman" w:cs="Times New Roman"/>
              </w:rPr>
            </w:pPr>
            <w:r w:rsidRPr="009E1D9B">
              <w:rPr>
                <w:rFonts w:ascii="Times New Roman" w:hAnsi="Times New Roman" w:cs="Times New Roman"/>
              </w:rPr>
              <w:t>(Services and supply)</w:t>
            </w:r>
          </w:p>
        </w:tc>
        <w:tc>
          <w:tcPr>
            <w:tcW w:w="6811" w:type="dxa"/>
          </w:tcPr>
          <w:p w:rsidR="00AF1D20" w:rsidRDefault="00AF1D20" w:rsidP="00562088">
            <w:pPr>
              <w:pStyle w:val="ActionDocument"/>
            </w:pPr>
            <w:r>
              <w:t>The technical assistance will develop the one-stop shop for citizens, by establishing a front (single-point of contact) and back (full e-circuit involving all re</w:t>
            </w:r>
            <w:r w:rsidR="00562088">
              <w:t xml:space="preserve">levant institutions)  platform </w:t>
            </w:r>
            <w:r>
              <w:t>incl. design, reorganisation of the business processes and establishment of electronic work flow, software programming, testing, limited maintenance, training and building the capacities for us</w:t>
            </w:r>
            <w:r w:rsidR="00562088">
              <w:t>e and maintenance of the system</w:t>
            </w:r>
            <w:r>
              <w:t>. It will also develop and integrate a pilot module for measuring the performance of the involved institutions/public bodies. Support will be provided for the</w:t>
            </w:r>
            <w:r>
              <w:rPr>
                <w:lang w:eastAsia="en-GB"/>
              </w:rPr>
              <w:t xml:space="preserve"> establishment of accessibility standards to public services and for the further development of electronic authentication system for citizens and businesses</w:t>
            </w:r>
            <w:r w:rsidR="00562088">
              <w:t xml:space="preserve">. </w:t>
            </w:r>
            <w:r>
              <w:t>A separate supply contract will ensure the needed equipment for making the e-Citizen platform operational</w:t>
            </w:r>
            <w:r>
              <w:rPr>
                <w:lang w:eastAsia="en-GB"/>
              </w:rPr>
              <w:t>.</w:t>
            </w:r>
          </w:p>
        </w:tc>
      </w:tr>
      <w:tr w:rsidR="00AF1D20" w:rsidTr="009E1D9B">
        <w:trPr>
          <w:trHeight w:val="1982"/>
        </w:trPr>
        <w:tc>
          <w:tcPr>
            <w:tcW w:w="993" w:type="dxa"/>
            <w:shd w:val="clear" w:color="auto" w:fill="auto"/>
          </w:tcPr>
          <w:p w:rsidR="00AF1D20" w:rsidDel="00AF1D20" w:rsidRDefault="00AF1D20" w:rsidP="007E2DA9">
            <w:pPr>
              <w:pStyle w:val="ListParagraph1"/>
              <w:tabs>
                <w:tab w:val="left" w:pos="270"/>
              </w:tabs>
              <w:spacing w:before="60" w:after="60"/>
              <w:ind w:left="0"/>
              <w:jc w:val="center"/>
              <w:rPr>
                <w:rFonts w:ascii="Times New Roman" w:hAnsi="Times New Roman" w:cs="Times New Roman"/>
                <w:b/>
                <w:lang w:val="en-GB"/>
              </w:rPr>
            </w:pPr>
            <w:r>
              <w:rPr>
                <w:rFonts w:ascii="Times New Roman" w:hAnsi="Times New Roman" w:cs="Times New Roman"/>
                <w:b/>
                <w:lang w:val="en-GB"/>
              </w:rPr>
              <w:t>1.</w:t>
            </w:r>
            <w:r w:rsidR="007E2DA9">
              <w:rPr>
                <w:rFonts w:ascii="Times New Roman" w:hAnsi="Times New Roman" w:cs="Times New Roman"/>
                <w:b/>
                <w:lang w:val="en-GB"/>
              </w:rPr>
              <w:t>3.2</w:t>
            </w:r>
          </w:p>
        </w:tc>
        <w:tc>
          <w:tcPr>
            <w:tcW w:w="1701" w:type="dxa"/>
            <w:shd w:val="clear" w:color="auto" w:fill="auto"/>
          </w:tcPr>
          <w:p w:rsidR="00AF1D20" w:rsidRPr="009E1D9B" w:rsidRDefault="00AF1D20" w:rsidP="00AF1D20">
            <w:pPr>
              <w:spacing w:before="60" w:after="0"/>
              <w:jc w:val="left"/>
              <w:rPr>
                <w:rFonts w:ascii="Times New Roman" w:hAnsi="Times New Roman" w:cs="Times New Roman"/>
              </w:rPr>
            </w:pPr>
            <w:r w:rsidRPr="009E1D9B">
              <w:rPr>
                <w:rFonts w:ascii="Times New Roman" w:hAnsi="Times New Roman" w:cs="Times New Roman"/>
              </w:rPr>
              <w:t>e-Business</w:t>
            </w:r>
          </w:p>
          <w:p w:rsidR="00AF1D20" w:rsidRPr="009E1D9B" w:rsidRDefault="00AF1D20" w:rsidP="00AF1D20">
            <w:pPr>
              <w:spacing w:before="60" w:after="0"/>
              <w:jc w:val="left"/>
              <w:rPr>
                <w:rFonts w:ascii="Times New Roman" w:hAnsi="Times New Roman" w:cs="Times New Roman"/>
              </w:rPr>
            </w:pPr>
          </w:p>
          <w:p w:rsidR="00AF1D20" w:rsidRPr="009E1D9B" w:rsidDel="00AF1D20" w:rsidRDefault="00AF1D20" w:rsidP="00AF1D20">
            <w:pPr>
              <w:spacing w:before="60" w:after="0"/>
              <w:jc w:val="left"/>
              <w:rPr>
                <w:rFonts w:ascii="Times New Roman" w:hAnsi="Times New Roman" w:cs="Times New Roman"/>
              </w:rPr>
            </w:pPr>
            <w:r w:rsidRPr="009E1D9B">
              <w:rPr>
                <w:rFonts w:ascii="Times New Roman" w:hAnsi="Times New Roman" w:cs="Times New Roman"/>
              </w:rPr>
              <w:t>(Services and supply)</w:t>
            </w:r>
          </w:p>
        </w:tc>
        <w:tc>
          <w:tcPr>
            <w:tcW w:w="6811" w:type="dxa"/>
          </w:tcPr>
          <w:p w:rsidR="00AF1D20" w:rsidRPr="00562088" w:rsidDel="00AF1D20" w:rsidRDefault="00AF1D20" w:rsidP="009E1D9B">
            <w:pPr>
              <w:spacing w:before="60" w:after="60"/>
            </w:pPr>
            <w:r w:rsidRPr="00562088">
              <w:rPr>
                <w:rFonts w:ascii="Times New Roman" w:hAnsi="Times New Roman" w:cs="Times New Roman"/>
              </w:rPr>
              <w:t>The technical assistance will develop the E-Business platform encompassing most of the services linked to issuing of lice</w:t>
            </w:r>
            <w:r w:rsidR="00562088" w:rsidRPr="00562088">
              <w:rPr>
                <w:rFonts w:ascii="Times New Roman" w:hAnsi="Times New Roman" w:cs="Times New Roman"/>
              </w:rPr>
              <w:t>nses and permits for business.</w:t>
            </w:r>
            <w:r w:rsidR="00562088">
              <w:rPr>
                <w:rFonts w:ascii="Times New Roman" w:hAnsi="Times New Roman" w:cs="Times New Roman"/>
              </w:rPr>
              <w:t xml:space="preserve"> The assistance will involve </w:t>
            </w:r>
            <w:r w:rsidRPr="00562088">
              <w:rPr>
                <w:rFonts w:ascii="Times New Roman" w:hAnsi="Times New Roman" w:cs="Times New Roman"/>
              </w:rPr>
              <w:t xml:space="preserve">design, reorganisation of the business processes and establishment of electronic work flow, software programming, testing, limited maintenance, training and building the capacities for use and maintenance of the </w:t>
            </w:r>
            <w:r w:rsidR="00E80430" w:rsidRPr="00562088">
              <w:rPr>
                <w:rFonts w:ascii="Times New Roman" w:hAnsi="Times New Roman" w:cs="Times New Roman"/>
              </w:rPr>
              <w:t>system. A</w:t>
            </w:r>
            <w:r w:rsidRPr="00562088">
              <w:rPr>
                <w:rFonts w:ascii="Times New Roman" w:hAnsi="Times New Roman" w:cs="Times New Roman"/>
              </w:rPr>
              <w:t xml:space="preserve"> supply contract will ensure the necessary hardware is available to ensure the operation of the e-Business platform</w:t>
            </w:r>
          </w:p>
        </w:tc>
      </w:tr>
      <w:tr w:rsidR="00AF1D20" w:rsidTr="009E1D9B">
        <w:trPr>
          <w:trHeight w:val="60"/>
        </w:trPr>
        <w:tc>
          <w:tcPr>
            <w:tcW w:w="993" w:type="dxa"/>
            <w:shd w:val="clear" w:color="auto" w:fill="auto"/>
          </w:tcPr>
          <w:p w:rsidR="00AF1D20" w:rsidRDefault="00AF1D20">
            <w:pPr>
              <w:pStyle w:val="ListParagraph1"/>
              <w:tabs>
                <w:tab w:val="left" w:pos="270"/>
              </w:tabs>
              <w:spacing w:before="60" w:after="60"/>
              <w:ind w:left="0"/>
              <w:jc w:val="center"/>
              <w:rPr>
                <w:rFonts w:ascii="Times New Roman" w:hAnsi="Times New Roman" w:cs="Times New Roman"/>
                <w:b/>
                <w:lang w:val="en-GB"/>
              </w:rPr>
            </w:pPr>
            <w:r>
              <w:rPr>
                <w:rFonts w:ascii="Times New Roman" w:hAnsi="Times New Roman" w:cs="Times New Roman"/>
                <w:b/>
                <w:lang w:val="en-GB"/>
              </w:rPr>
              <w:t>2.1</w:t>
            </w:r>
            <w:r w:rsidR="005D293B">
              <w:rPr>
                <w:rFonts w:ascii="Times New Roman" w:hAnsi="Times New Roman" w:cs="Times New Roman"/>
                <w:b/>
                <w:lang w:val="en-GB"/>
              </w:rPr>
              <w:t xml:space="preserve"> and 2.2.</w:t>
            </w:r>
          </w:p>
        </w:tc>
        <w:tc>
          <w:tcPr>
            <w:tcW w:w="1701" w:type="dxa"/>
            <w:shd w:val="clear" w:color="auto" w:fill="auto"/>
          </w:tcPr>
          <w:p w:rsidR="00AF1D20" w:rsidRPr="005D293B" w:rsidRDefault="00AF1D20" w:rsidP="005D293B">
            <w:pPr>
              <w:spacing w:before="60" w:after="60"/>
              <w:jc w:val="left"/>
              <w:rPr>
                <w:rFonts w:ascii="Times New Roman" w:hAnsi="Times New Roman" w:cs="Times New Roman"/>
              </w:rPr>
            </w:pPr>
            <w:r w:rsidRPr="005D293B">
              <w:rPr>
                <w:rFonts w:ascii="Times New Roman" w:hAnsi="Times New Roman" w:cs="Times New Roman"/>
              </w:rPr>
              <w:t>Improving the production and dissemination of the statistics</w:t>
            </w:r>
            <w:r w:rsidR="005D293B" w:rsidRPr="009E1D9B">
              <w:rPr>
                <w:rFonts w:ascii="Times New Roman" w:hAnsi="Times New Roman" w:cs="Times New Roman"/>
              </w:rPr>
              <w:t>(Services and supply)</w:t>
            </w:r>
          </w:p>
        </w:tc>
        <w:tc>
          <w:tcPr>
            <w:tcW w:w="6811" w:type="dxa"/>
          </w:tcPr>
          <w:p w:rsidR="00AF1D20" w:rsidRDefault="00AF1D20" w:rsidP="00562088">
            <w:pPr>
              <w:spacing w:before="60" w:after="60"/>
              <w:rPr>
                <w:rFonts w:ascii="Times New Roman" w:hAnsi="Times New Roman" w:cs="Times New Roman"/>
              </w:rPr>
            </w:pPr>
            <w:r>
              <w:rPr>
                <w:rFonts w:ascii="Times New Roman" w:hAnsi="Times New Roman" w:cs="Times New Roman"/>
              </w:rPr>
              <w:t xml:space="preserve">The technical assistance will support SSO </w:t>
            </w:r>
            <w:r w:rsidR="00562088">
              <w:rPr>
                <w:rFonts w:ascii="Times New Roman" w:hAnsi="Times New Roman" w:cs="Times New Roman"/>
              </w:rPr>
              <w:t xml:space="preserve">in </w:t>
            </w:r>
            <w:r>
              <w:rPr>
                <w:rFonts w:ascii="Times New Roman" w:hAnsi="Times New Roman" w:cs="Times New Roman"/>
              </w:rPr>
              <w:t>improv</w:t>
            </w:r>
            <w:r w:rsidR="00562088">
              <w:rPr>
                <w:rFonts w:ascii="Times New Roman" w:hAnsi="Times New Roman" w:cs="Times New Roman"/>
              </w:rPr>
              <w:t>ing</w:t>
            </w:r>
            <w:r>
              <w:rPr>
                <w:rFonts w:ascii="Times New Roman" w:hAnsi="Times New Roman" w:cs="Times New Roman"/>
              </w:rPr>
              <w:t xml:space="preserve"> national accounts and sector statistics and </w:t>
            </w:r>
            <w:r w:rsidR="00562088">
              <w:rPr>
                <w:rFonts w:ascii="Times New Roman" w:hAnsi="Times New Roman" w:cs="Times New Roman"/>
              </w:rPr>
              <w:t xml:space="preserve">upgrading </w:t>
            </w:r>
            <w:r>
              <w:rPr>
                <w:rFonts w:ascii="Times New Roman" w:hAnsi="Times New Roman" w:cs="Times New Roman"/>
              </w:rPr>
              <w:t>the software for statistical production and dissemination</w:t>
            </w:r>
            <w:r w:rsidR="00562088">
              <w:rPr>
                <w:rFonts w:ascii="Times New Roman" w:hAnsi="Times New Roman" w:cs="Times New Roman"/>
              </w:rPr>
              <w:t xml:space="preserve">. A supply </w:t>
            </w:r>
            <w:r w:rsidR="005D293B">
              <w:rPr>
                <w:rFonts w:ascii="Times New Roman" w:hAnsi="Times New Roman" w:cs="Times New Roman"/>
              </w:rPr>
              <w:t>contract is envisaged to provide the necessary equipment and commercial software for upgrading the IT capacity in data collection, production and dissemination of statistics</w:t>
            </w:r>
            <w:r>
              <w:rPr>
                <w:rFonts w:ascii="Times New Roman" w:hAnsi="Times New Roman" w:cs="Times New Roman"/>
              </w:rPr>
              <w:t xml:space="preserve">. </w:t>
            </w:r>
          </w:p>
        </w:tc>
      </w:tr>
      <w:tr w:rsidR="00EA10B7" w:rsidTr="009E1D9B">
        <w:trPr>
          <w:trHeight w:val="60"/>
        </w:trPr>
        <w:tc>
          <w:tcPr>
            <w:tcW w:w="993" w:type="dxa"/>
            <w:shd w:val="clear" w:color="auto" w:fill="auto"/>
          </w:tcPr>
          <w:p w:rsidR="00EA10B7" w:rsidRDefault="00EA10B7">
            <w:pPr>
              <w:pStyle w:val="ListParagraph1"/>
              <w:tabs>
                <w:tab w:val="left" w:pos="270"/>
              </w:tabs>
              <w:spacing w:before="60" w:after="60"/>
              <w:ind w:left="0"/>
              <w:jc w:val="center"/>
              <w:rPr>
                <w:rFonts w:ascii="Times New Roman" w:hAnsi="Times New Roman" w:cs="Times New Roman"/>
                <w:b/>
                <w:lang w:val="en-GB"/>
              </w:rPr>
            </w:pPr>
            <w:r>
              <w:rPr>
                <w:rFonts w:ascii="Times New Roman" w:hAnsi="Times New Roman" w:cs="Times New Roman"/>
                <w:b/>
                <w:lang w:val="en-GB"/>
              </w:rPr>
              <w:t>Horizontal</w:t>
            </w:r>
          </w:p>
        </w:tc>
        <w:tc>
          <w:tcPr>
            <w:tcW w:w="1701" w:type="dxa"/>
            <w:shd w:val="clear" w:color="auto" w:fill="auto"/>
          </w:tcPr>
          <w:p w:rsidR="00EA10B7" w:rsidRDefault="00EA10B7" w:rsidP="005D293B">
            <w:pPr>
              <w:spacing w:before="60" w:after="60"/>
              <w:jc w:val="left"/>
              <w:rPr>
                <w:rFonts w:ascii="Times New Roman" w:hAnsi="Times New Roman" w:cs="Times New Roman"/>
              </w:rPr>
            </w:pPr>
            <w:r>
              <w:rPr>
                <w:rFonts w:ascii="Times New Roman" w:hAnsi="Times New Roman" w:cs="Times New Roman"/>
              </w:rPr>
              <w:t>Evaluation of the Action</w:t>
            </w:r>
          </w:p>
          <w:p w:rsidR="005612F7" w:rsidRPr="005D293B" w:rsidRDefault="005612F7" w:rsidP="005D293B">
            <w:pPr>
              <w:spacing w:before="60" w:after="60"/>
              <w:jc w:val="left"/>
              <w:rPr>
                <w:rFonts w:ascii="Times New Roman" w:hAnsi="Times New Roman" w:cs="Times New Roman"/>
              </w:rPr>
            </w:pPr>
            <w:r>
              <w:rPr>
                <w:rFonts w:ascii="Times New Roman" w:hAnsi="Times New Roman" w:cs="Times New Roman"/>
              </w:rPr>
              <w:t>(Services)</w:t>
            </w:r>
          </w:p>
        </w:tc>
        <w:tc>
          <w:tcPr>
            <w:tcW w:w="6811" w:type="dxa"/>
          </w:tcPr>
          <w:p w:rsidR="00EA10B7" w:rsidRPr="00EA10B7" w:rsidRDefault="00EA10B7" w:rsidP="00EA10B7">
            <w:pPr>
              <w:rPr>
                <w:rFonts w:ascii="Times New Roman" w:hAnsi="Times New Roman" w:cs="Times New Roman"/>
                <w:lang w:val="en-US"/>
              </w:rPr>
            </w:pPr>
            <w:r w:rsidRPr="0092695A">
              <w:rPr>
                <w:rFonts w:ascii="Times New Roman" w:hAnsi="Times New Roman" w:cs="Times New Roman"/>
                <w:iCs/>
                <w:lang w:val="en-US"/>
              </w:rPr>
              <w:t xml:space="preserve">An ex-post evaluation for this Action </w:t>
            </w:r>
            <w:r>
              <w:rPr>
                <w:rFonts w:ascii="Times New Roman" w:hAnsi="Times New Roman" w:cs="Times New Roman"/>
                <w:iCs/>
                <w:lang w:val="en-US"/>
              </w:rPr>
              <w:t xml:space="preserve">will be carried out </w:t>
            </w:r>
            <w:r w:rsidRPr="0092695A">
              <w:rPr>
                <w:rFonts w:ascii="Times New Roman" w:hAnsi="Times New Roman" w:cs="Times New Roman"/>
                <w:iCs/>
                <w:lang w:val="en-US"/>
              </w:rPr>
              <w:t xml:space="preserve">to receive an independent assessment of the relevance, efficiency, effectiveness, impact and sustainability of the action </w:t>
            </w:r>
          </w:p>
        </w:tc>
      </w:tr>
    </w:tbl>
    <w:p w:rsidR="00252DA0" w:rsidRPr="00FE258A" w:rsidRDefault="005E4C45">
      <w:pPr>
        <w:pStyle w:val="Heading1"/>
      </w:pPr>
      <w:r w:rsidRPr="00FE258A">
        <w:t>4. Performance measurement</w:t>
      </w:r>
    </w:p>
    <w:p w:rsidR="00252DA0" w:rsidRPr="00FE258A" w:rsidRDefault="005E4C45">
      <w:pPr>
        <w:spacing w:before="480" w:after="240"/>
        <w:rPr>
          <w:rFonts w:ascii="Arial" w:hAnsi="Arial" w:cs="Arial"/>
          <w:b/>
          <w:bCs/>
          <w:smallCaps/>
        </w:rPr>
      </w:pPr>
      <w:r w:rsidRPr="00FE258A">
        <w:rPr>
          <w:rFonts w:ascii="Arial" w:hAnsi="Arial" w:cs="Arial"/>
          <w:b/>
          <w:bCs/>
          <w:smallCaps/>
        </w:rPr>
        <w:t>Methodology for monitoring (and evaluation)</w:t>
      </w:r>
    </w:p>
    <w:p w:rsidR="00252DA0" w:rsidRPr="005C1810" w:rsidRDefault="005E4C45">
      <w:pPr>
        <w:spacing w:before="0"/>
        <w:rPr>
          <w:rFonts w:ascii="Times New Roman" w:hAnsi="Times New Roman" w:cs="Times New Roman"/>
          <w:iCs/>
        </w:rPr>
      </w:pPr>
      <w:r w:rsidRPr="005C1810">
        <w:rPr>
          <w:rFonts w:ascii="Times New Roman" w:hAnsi="Times New Roman" w:cs="Times New Roman"/>
          <w:iCs/>
        </w:rPr>
        <w:t xml:space="preserve">The EUD as contracting authority has the overall responsibility for </w:t>
      </w:r>
      <w:r w:rsidR="003949B2" w:rsidRPr="005C1810">
        <w:rPr>
          <w:rFonts w:ascii="Times New Roman" w:hAnsi="Times New Roman" w:cs="Times New Roman"/>
          <w:iCs/>
        </w:rPr>
        <w:t xml:space="preserve">monitoring and evaluation of every single contract and the action as a whole.  This function will be exercised jointly </w:t>
      </w:r>
      <w:r w:rsidRPr="005C1810">
        <w:rPr>
          <w:rFonts w:ascii="Times New Roman" w:hAnsi="Times New Roman" w:cs="Times New Roman"/>
          <w:iCs/>
        </w:rPr>
        <w:t xml:space="preserve">with the NIPAC in </w:t>
      </w:r>
      <w:r w:rsidR="003949B2" w:rsidRPr="005C1810">
        <w:rPr>
          <w:rFonts w:ascii="Times New Roman" w:hAnsi="Times New Roman" w:cs="Times New Roman"/>
          <w:iCs/>
        </w:rPr>
        <w:t xml:space="preserve">the spirit of </w:t>
      </w:r>
      <w:r w:rsidRPr="005C1810">
        <w:rPr>
          <w:rFonts w:ascii="Times New Roman" w:hAnsi="Times New Roman" w:cs="Times New Roman"/>
          <w:iCs/>
        </w:rPr>
        <w:t>the IPA II regulation and the Framework Agreement.</w:t>
      </w:r>
    </w:p>
    <w:p w:rsidR="005C1810" w:rsidRPr="005C1810" w:rsidRDefault="005E4C45" w:rsidP="005C1810">
      <w:pPr>
        <w:spacing w:before="0" w:after="0"/>
        <w:rPr>
          <w:rFonts w:ascii="Times New Roman" w:hAnsi="Times New Roman" w:cs="Times New Roman"/>
        </w:rPr>
      </w:pPr>
      <w:r w:rsidRPr="009E1D9B">
        <w:rPr>
          <w:rFonts w:ascii="Times New Roman" w:hAnsi="Times New Roman" w:cs="Times New Roman"/>
        </w:rPr>
        <w:t>The need for a more result-oriented focus of the assistance in IPA</w:t>
      </w:r>
      <w:r w:rsidR="009F5C66">
        <w:rPr>
          <w:rFonts w:ascii="Times New Roman" w:hAnsi="Times New Roman" w:cs="Times New Roman"/>
        </w:rPr>
        <w:t xml:space="preserve"> II</w:t>
      </w:r>
      <w:r w:rsidRPr="009E1D9B">
        <w:rPr>
          <w:rFonts w:ascii="Times New Roman" w:hAnsi="Times New Roman" w:cs="Times New Roman"/>
        </w:rPr>
        <w:t xml:space="preserve"> 2014-2020 is reflected into the proposed structure of well-identified and measurable indicators, which integrate macro-level indicators aiming to measure the large scale effects of the assistance, and a set of outcome and output indicators specific to the PAR and statistics.</w:t>
      </w:r>
      <w:r w:rsidR="005C1810" w:rsidRPr="005C1810">
        <w:rPr>
          <w:rFonts w:ascii="Times New Roman" w:hAnsi="Times New Roman" w:cs="Times New Roman"/>
        </w:rPr>
        <w:t xml:space="preserve"> Internal monitoring and evaluation will be in line with DG NEAR Guidelines on linking planning/programming, monitoring and evaluation. </w:t>
      </w:r>
    </w:p>
    <w:p w:rsidR="0032328F" w:rsidRDefault="005E4C45" w:rsidP="009E1D9B">
      <w:pPr>
        <w:spacing w:after="0"/>
        <w:rPr>
          <w:iCs/>
        </w:rPr>
      </w:pPr>
      <w:r w:rsidRPr="005C1810">
        <w:rPr>
          <w:rFonts w:ascii="Times New Roman" w:hAnsi="Times New Roman" w:cs="Times New Roman"/>
          <w:iCs/>
        </w:rPr>
        <w:t xml:space="preserve">At contract level, </w:t>
      </w:r>
      <w:r w:rsidR="003949B2" w:rsidRPr="005C1810">
        <w:rPr>
          <w:rFonts w:ascii="Times New Roman" w:hAnsi="Times New Roman" w:cs="Times New Roman"/>
          <w:iCs/>
        </w:rPr>
        <w:t>the</w:t>
      </w:r>
      <w:r w:rsidRPr="005C1810">
        <w:rPr>
          <w:rFonts w:ascii="Times New Roman" w:hAnsi="Times New Roman" w:cs="Times New Roman"/>
          <w:iCs/>
        </w:rPr>
        <w:t xml:space="preserve"> monitoring </w:t>
      </w:r>
      <w:r w:rsidR="003949B2" w:rsidRPr="005C1810">
        <w:rPr>
          <w:rFonts w:ascii="Times New Roman" w:hAnsi="Times New Roman" w:cs="Times New Roman"/>
          <w:iCs/>
        </w:rPr>
        <w:t>will be done in compliance with the adopted in 2015 and revised in 2016 Monitoring Strategy of the EU Delegation</w:t>
      </w:r>
      <w:r w:rsidR="005C1810" w:rsidRPr="005C1810">
        <w:rPr>
          <w:rFonts w:ascii="Times New Roman" w:hAnsi="Times New Roman" w:cs="Times New Roman"/>
          <w:iCs/>
        </w:rPr>
        <w:t>. The methodology applied is based on a review of the regular progress and final reports, on the spot visits, participation in project steering committees and on-going monitoring following the everyday communication with project stakeholders and regular flow of information (including media one).</w:t>
      </w:r>
      <w:r w:rsidR="005C1810" w:rsidRPr="009E1D9B">
        <w:rPr>
          <w:rFonts w:ascii="Times New Roman" w:hAnsi="Times New Roman" w:cs="Times New Roman"/>
          <w:iCs/>
        </w:rPr>
        <w:t xml:space="preserve"> In order to enhance monitoring, specific instructions will be given to the contractors on the production of the regular and final reports.</w:t>
      </w:r>
      <w:r w:rsidRPr="005C1810">
        <w:rPr>
          <w:rFonts w:ascii="Times New Roman" w:hAnsi="Times New Roman" w:cs="Times New Roman"/>
          <w:iCs/>
        </w:rPr>
        <w:t xml:space="preserve"> Every report shall provide an accurate account of implementation of the specific activity, difficulties encountered, changes introduced, as well as the degree of achievement of its results (outputs and direct outcomes) as measured by corresponding indicators, using as reference the respective list of indicators included in this document. The report shall be laid out in such a way as to allow monitoring of the means envisaged and employed and of the budget details. </w:t>
      </w:r>
    </w:p>
    <w:p w:rsidR="005C1810" w:rsidRPr="005C1810" w:rsidRDefault="005C1810" w:rsidP="009E1D9B">
      <w:pPr>
        <w:spacing w:after="0"/>
      </w:pPr>
      <w:r w:rsidRPr="005C1810">
        <w:rPr>
          <w:rFonts w:ascii="Times New Roman" w:hAnsi="Times New Roman" w:cs="Times New Roman"/>
        </w:rPr>
        <w:t>The EC may undertake monitoring visits both through its own staff and through independent consultants recruited for independent monitoring reviews, like the Result Oriented Monitoring (ROM) (or recruited by the responsible agent contracted by the EC for implementing such reviews).</w:t>
      </w:r>
    </w:p>
    <w:p w:rsidR="00252DA0" w:rsidRPr="001C3D6C" w:rsidRDefault="005E4C45">
      <w:pPr>
        <w:pStyle w:val="ActionDocument"/>
      </w:pPr>
      <w:r>
        <w:t xml:space="preserve">At action level, the progress will be monitored jointly by the EUD and the NIPAC with the close involvement of the established sector working group (SWG). The SWG is responsible for coordinating activities related to the programming and management of EU funds and other international assistance. Representatives of the donor community and CSOs participate in the SWG </w:t>
      </w:r>
      <w:r w:rsidRPr="006C14D1">
        <w:t>meetings based on the needs and requirements of each SWG meeting and take part in consu</w:t>
      </w:r>
      <w:r w:rsidRPr="00E00C5E">
        <w:t xml:space="preserve">ltation processes. The </w:t>
      </w:r>
      <w:r w:rsidRPr="001C3D6C">
        <w:t xml:space="preserve">MISA, </w:t>
      </w:r>
      <w:r w:rsidRPr="006C14D1">
        <w:t xml:space="preserve">as a leader of the SWG shall be responsible for the preparation of the reports, their submission to the SWG, PAR Special Committee, to the NIPAC and to the EC. </w:t>
      </w:r>
    </w:p>
    <w:p w:rsidR="00252DA0" w:rsidRPr="001C3D6C" w:rsidRDefault="005E4C45">
      <w:pPr>
        <w:pStyle w:val="ActionDocument"/>
      </w:pPr>
      <w:r w:rsidRPr="001C3D6C">
        <w:t>NIPAC</w:t>
      </w:r>
      <w:r w:rsidRPr="006C14D1">
        <w:t xml:space="preserve"> will be responsible for maintenance of comprehensive and acc</w:t>
      </w:r>
      <w:r w:rsidRPr="00E00C5E">
        <w:t>urate minutes of the policy dialogue between the Government and the EC.</w:t>
      </w:r>
    </w:p>
    <w:p w:rsidR="005C1810" w:rsidRDefault="005C1810" w:rsidP="005C1810">
      <w:pPr>
        <w:spacing w:before="0"/>
        <w:rPr>
          <w:rFonts w:ascii="Times New Roman" w:hAnsi="Times New Roman" w:cs="Times New Roman"/>
          <w:iCs/>
        </w:rPr>
      </w:pPr>
      <w:r>
        <w:rPr>
          <w:rFonts w:ascii="Times New Roman" w:hAnsi="Times New Roman" w:cs="Times New Roman"/>
          <w:iCs/>
        </w:rPr>
        <w:t xml:space="preserve">The Action envisages a final evaluation and allocates funds for it. A specific service contract is envisaged to ensure this evaluation. In addition, the Action might be subject to external monitoring in line with the EC rules and procedures set in the Financing Agreement. </w:t>
      </w:r>
    </w:p>
    <w:p w:rsidR="00252DA0" w:rsidRDefault="00252DA0">
      <w:pPr>
        <w:pBdr>
          <w:left w:val="single" w:sz="4" w:space="4" w:color="auto"/>
        </w:pBdr>
        <w:rPr>
          <w:rFonts w:ascii="Times New Roman" w:hAnsi="Times New Roman" w:cs="Times New Roman"/>
        </w:rPr>
        <w:sectPr w:rsidR="00252DA0">
          <w:footerReference w:type="even" r:id="rId16"/>
          <w:footnotePr>
            <w:numRestart w:val="eachSect"/>
          </w:footnotePr>
          <w:pgSz w:w="11906" w:h="16838"/>
          <w:pgMar w:top="1440" w:right="851" w:bottom="1440" w:left="1418" w:header="720" w:footer="0" w:gutter="0"/>
          <w:cols w:space="720"/>
          <w:docGrid w:linePitch="299"/>
        </w:sectPr>
      </w:pPr>
    </w:p>
    <w:p w:rsidR="00252DA0" w:rsidRPr="00FE258A" w:rsidRDefault="005E4C45">
      <w:pPr>
        <w:spacing w:before="480" w:after="240"/>
        <w:rPr>
          <w:rFonts w:ascii="Arial" w:hAnsi="Arial" w:cs="Arial"/>
          <w:b/>
          <w:bCs/>
          <w:smallCaps/>
        </w:rPr>
      </w:pPr>
      <w:r w:rsidRPr="00FE258A">
        <w:rPr>
          <w:rFonts w:ascii="Arial" w:hAnsi="Arial" w:cs="Arial"/>
          <w:b/>
          <w:bCs/>
          <w:smallCaps/>
        </w:rPr>
        <w:t>Indicator measurement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340"/>
        <w:gridCol w:w="2464"/>
        <w:gridCol w:w="2567"/>
        <w:gridCol w:w="3685"/>
      </w:tblGrid>
      <w:tr w:rsidR="00252DA0" w:rsidTr="00710AA1">
        <w:tc>
          <w:tcPr>
            <w:tcW w:w="3936"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b/>
                <w:iCs/>
                <w:sz w:val="20"/>
                <w:szCs w:val="20"/>
                <w:lang w:eastAsia="en-US"/>
              </w:rPr>
              <w:t>Indicator</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b/>
                <w:iCs/>
                <w:sz w:val="20"/>
                <w:szCs w:val="20"/>
                <w:lang w:eastAsia="en-US"/>
              </w:rPr>
              <w:t>Baseline</w:t>
            </w:r>
            <w:r w:rsidRPr="0092695A">
              <w:rPr>
                <w:rFonts w:ascii="Times New Roman" w:eastAsia="Calibri" w:hAnsi="Times New Roman" w:cs="Times New Roman"/>
                <w:b/>
                <w:iCs/>
                <w:sz w:val="20"/>
                <w:szCs w:val="20"/>
                <w:lang w:eastAsia="en-US"/>
              </w:rPr>
              <w:br/>
              <w:t xml:space="preserve">(value + year) </w:t>
            </w:r>
            <w:r w:rsidRPr="0092695A">
              <w:rPr>
                <w:rFonts w:ascii="Times New Roman" w:eastAsia="Calibri" w:hAnsi="Times New Roman" w:cs="Times New Roman"/>
                <w:iCs/>
                <w:sz w:val="20"/>
                <w:szCs w:val="20"/>
                <w:lang w:eastAsia="en-US"/>
              </w:rPr>
              <w:t>(2)</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b/>
                <w:bCs/>
                <w:sz w:val="20"/>
                <w:szCs w:val="20"/>
              </w:rPr>
              <w:t>Target</w:t>
            </w:r>
            <w:r w:rsidRPr="0092695A">
              <w:rPr>
                <w:rFonts w:ascii="Times New Roman" w:hAnsi="Times New Roman" w:cs="Times New Roman"/>
                <w:b/>
                <w:bCs/>
                <w:sz w:val="20"/>
                <w:szCs w:val="20"/>
              </w:rPr>
              <w:br/>
              <w:t xml:space="preserve">2020 </w:t>
            </w:r>
            <w:r w:rsidRPr="0092695A">
              <w:rPr>
                <w:rFonts w:ascii="Times New Roman" w:hAnsi="Times New Roman" w:cs="Times New Roman"/>
                <w:bCs/>
                <w:sz w:val="20"/>
                <w:szCs w:val="20"/>
              </w:rPr>
              <w:t>(3)</w:t>
            </w:r>
          </w:p>
        </w:tc>
        <w:tc>
          <w:tcPr>
            <w:tcW w:w="2567"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b/>
                <w:iCs/>
                <w:sz w:val="20"/>
                <w:szCs w:val="20"/>
                <w:lang w:eastAsia="en-US"/>
              </w:rPr>
              <w:t>Final Target</w:t>
            </w:r>
            <w:r w:rsidRPr="0092695A">
              <w:rPr>
                <w:rFonts w:ascii="Times New Roman" w:eastAsia="Calibri" w:hAnsi="Times New Roman" w:cs="Times New Roman"/>
                <w:b/>
                <w:iCs/>
                <w:sz w:val="20"/>
                <w:szCs w:val="20"/>
                <w:lang w:eastAsia="en-US"/>
              </w:rPr>
              <w:br/>
              <w:t>(year</w:t>
            </w:r>
            <w:r w:rsidR="004E1C8C" w:rsidRPr="0092695A">
              <w:rPr>
                <w:rFonts w:ascii="Times New Roman" w:eastAsia="Calibri" w:hAnsi="Times New Roman" w:cs="Times New Roman"/>
                <w:b/>
                <w:iCs/>
                <w:sz w:val="20"/>
                <w:szCs w:val="20"/>
                <w:lang w:eastAsia="en-US"/>
              </w:rPr>
              <w:t xml:space="preserve"> - 2022</w:t>
            </w:r>
            <w:r w:rsidRPr="0092695A">
              <w:rPr>
                <w:rFonts w:ascii="Times New Roman" w:eastAsia="Calibri" w:hAnsi="Times New Roman" w:cs="Times New Roman"/>
                <w:b/>
                <w:iCs/>
                <w:sz w:val="20"/>
                <w:szCs w:val="20"/>
                <w:lang w:eastAsia="en-US"/>
              </w:rPr>
              <w:t xml:space="preserve">) </w:t>
            </w:r>
            <w:r w:rsidRPr="0092695A">
              <w:rPr>
                <w:rFonts w:ascii="Times New Roman" w:eastAsia="Calibri" w:hAnsi="Times New Roman" w:cs="Times New Roman"/>
                <w:iCs/>
                <w:sz w:val="20"/>
                <w:szCs w:val="20"/>
                <w:lang w:eastAsia="en-US"/>
              </w:rPr>
              <w:t>(4)</w:t>
            </w:r>
          </w:p>
        </w:tc>
        <w:tc>
          <w:tcPr>
            <w:tcW w:w="3685"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b/>
                <w:iCs/>
                <w:sz w:val="20"/>
                <w:szCs w:val="20"/>
                <w:lang w:eastAsia="en-US"/>
              </w:rPr>
              <w:t>Source of information</w:t>
            </w:r>
          </w:p>
        </w:tc>
      </w:tr>
      <w:tr w:rsidR="00252DA0" w:rsidRPr="009850F9" w:rsidTr="009850F9">
        <w:tc>
          <w:tcPr>
            <w:tcW w:w="14992" w:type="dxa"/>
            <w:gridSpan w:val="5"/>
            <w:shd w:val="clear" w:color="auto" w:fill="D9D9D9" w:themeFill="background1" w:themeFillShade="D9"/>
          </w:tcPr>
          <w:p w:rsidR="00252DA0" w:rsidRPr="009850F9" w:rsidRDefault="005E4C45">
            <w:pPr>
              <w:spacing w:before="0" w:after="0"/>
              <w:jc w:val="center"/>
              <w:rPr>
                <w:rFonts w:ascii="Times New Roman" w:eastAsia="Calibri" w:hAnsi="Times New Roman" w:cs="Times New Roman"/>
                <w:b/>
                <w:iCs/>
                <w:sz w:val="24"/>
                <w:szCs w:val="24"/>
                <w:lang w:eastAsia="en-US"/>
              </w:rPr>
            </w:pPr>
            <w:r w:rsidRPr="009850F9">
              <w:rPr>
                <w:rFonts w:ascii="Times New Roman" w:eastAsia="Calibri" w:hAnsi="Times New Roman" w:cs="Times New Roman"/>
                <w:b/>
                <w:iCs/>
                <w:sz w:val="24"/>
                <w:szCs w:val="24"/>
                <w:lang w:eastAsia="en-US"/>
              </w:rPr>
              <w:t>Impact indicators</w:t>
            </w:r>
          </w:p>
        </w:tc>
      </w:tr>
      <w:tr w:rsidR="00252DA0" w:rsidTr="00710AA1">
        <w:tc>
          <w:tcPr>
            <w:tcW w:w="3936"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Progress made towards meeting accession criteria </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Moderately prepared</w:t>
            </w:r>
          </w:p>
        </w:tc>
        <w:tc>
          <w:tcPr>
            <w:tcW w:w="2464" w:type="dxa"/>
            <w:shd w:val="clear" w:color="auto" w:fill="auto"/>
          </w:tcPr>
          <w:p w:rsidR="00252DA0" w:rsidRPr="0092695A" w:rsidRDefault="00A606B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 xml:space="preserve">Advanced </w:t>
            </w:r>
            <w:r w:rsidR="005E4C45" w:rsidRPr="0092695A">
              <w:rPr>
                <w:rFonts w:ascii="Times New Roman" w:eastAsia="Calibri" w:hAnsi="Times New Roman" w:cs="Times New Roman"/>
                <w:iCs/>
                <w:sz w:val="20"/>
                <w:szCs w:val="20"/>
                <w:lang w:eastAsia="en-US"/>
              </w:rPr>
              <w:t>level of preparation</w:t>
            </w:r>
          </w:p>
        </w:tc>
        <w:tc>
          <w:tcPr>
            <w:tcW w:w="2567" w:type="dxa"/>
            <w:shd w:val="clear" w:color="auto" w:fill="auto"/>
          </w:tcPr>
          <w:p w:rsidR="00252DA0" w:rsidRPr="0092695A" w:rsidRDefault="00A606B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Advanced level of preparation</w:t>
            </w:r>
          </w:p>
        </w:tc>
        <w:tc>
          <w:tcPr>
            <w:tcW w:w="3685" w:type="dxa"/>
            <w:shd w:val="clear" w:color="auto" w:fill="auto"/>
          </w:tcPr>
          <w:p w:rsidR="00252DA0" w:rsidRPr="0092695A" w:rsidRDefault="0058453A">
            <w:pPr>
              <w:spacing w:before="0" w:after="0"/>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Commission annual enlargement country</w:t>
            </w:r>
            <w:r w:rsidR="005E4C45" w:rsidRPr="0092695A">
              <w:rPr>
                <w:rFonts w:ascii="Times New Roman" w:eastAsia="Calibri" w:hAnsi="Times New Roman" w:cs="Times New Roman"/>
                <w:iCs/>
                <w:sz w:val="20"/>
                <w:szCs w:val="20"/>
                <w:lang w:eastAsia="en-US"/>
              </w:rPr>
              <w:t xml:space="preserve"> report </w:t>
            </w:r>
          </w:p>
        </w:tc>
      </w:tr>
      <w:tr w:rsidR="00252DA0" w:rsidTr="00710AA1">
        <w:tc>
          <w:tcPr>
            <w:tcW w:w="3936" w:type="dxa"/>
            <w:shd w:val="clear" w:color="auto" w:fill="auto"/>
          </w:tcPr>
          <w:p w:rsidR="00252DA0" w:rsidRPr="0092695A" w:rsidRDefault="005E4C45" w:rsidP="00AC2900">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Composite indicator(average of: Government Effectiveness, Burden of Government Regulation and Regulatory Quality) </w:t>
            </w:r>
            <w:r w:rsidR="00AC2900" w:rsidRPr="0092695A">
              <w:rPr>
                <w:rFonts w:ascii="Times New Roman" w:hAnsi="Times New Roman" w:cs="Times New Roman"/>
                <w:sz w:val="20"/>
                <w:szCs w:val="20"/>
              </w:rPr>
              <w:t>/</w:t>
            </w:r>
            <w:r w:rsidRPr="0092695A">
              <w:rPr>
                <w:rFonts w:ascii="Times New Roman" w:hAnsi="Times New Roman" w:cs="Times New Roman"/>
                <w:sz w:val="20"/>
                <w:szCs w:val="20"/>
              </w:rPr>
              <w:t>1 (Worst) - 100 (Best)</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60,58 (2014)</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Above 65</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Above 70</w:t>
            </w:r>
          </w:p>
        </w:tc>
        <w:tc>
          <w:tcPr>
            <w:tcW w:w="3685" w:type="dxa"/>
            <w:shd w:val="clear" w:color="auto" w:fill="auto"/>
          </w:tcPr>
          <w:p w:rsidR="00252DA0" w:rsidRPr="0092695A" w:rsidRDefault="005E4C45">
            <w:pPr>
              <w:spacing w:before="0" w:after="0"/>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World Bank / World Economic Forum</w:t>
            </w:r>
          </w:p>
        </w:tc>
      </w:tr>
      <w:tr w:rsidR="00252DA0" w:rsidRPr="009850F9" w:rsidTr="009850F9">
        <w:tc>
          <w:tcPr>
            <w:tcW w:w="14992" w:type="dxa"/>
            <w:gridSpan w:val="5"/>
            <w:tcBorders>
              <w:bottom w:val="single" w:sz="6" w:space="0" w:color="auto"/>
            </w:tcBorders>
            <w:shd w:val="clear" w:color="auto" w:fill="D9D9D9" w:themeFill="background1" w:themeFillShade="D9"/>
          </w:tcPr>
          <w:p w:rsidR="00252DA0" w:rsidRPr="009850F9" w:rsidRDefault="005E4C45">
            <w:pPr>
              <w:spacing w:before="0" w:after="0"/>
              <w:jc w:val="center"/>
              <w:rPr>
                <w:rFonts w:ascii="Times New Roman" w:eastAsia="Calibri" w:hAnsi="Times New Roman" w:cs="Times New Roman"/>
                <w:iCs/>
                <w:sz w:val="24"/>
                <w:szCs w:val="24"/>
                <w:lang w:eastAsia="en-US"/>
              </w:rPr>
            </w:pPr>
            <w:r w:rsidRPr="009850F9">
              <w:rPr>
                <w:rFonts w:ascii="Times New Roman" w:eastAsia="Calibri" w:hAnsi="Times New Roman" w:cs="Times New Roman"/>
                <w:b/>
                <w:iCs/>
                <w:sz w:val="24"/>
                <w:szCs w:val="24"/>
                <w:lang w:eastAsia="en-US"/>
              </w:rPr>
              <w:t>Outcome indicators</w:t>
            </w:r>
          </w:p>
        </w:tc>
      </w:tr>
      <w:tr w:rsidR="000F59C8" w:rsidRPr="000F59C8" w:rsidTr="00710AA1">
        <w:tc>
          <w:tcPr>
            <w:tcW w:w="3936" w:type="dxa"/>
            <w:tcBorders>
              <w:top w:val="single" w:sz="6" w:space="0" w:color="auto"/>
              <w:left w:val="single" w:sz="6" w:space="0" w:color="auto"/>
              <w:bottom w:val="single" w:sz="6" w:space="0" w:color="auto"/>
              <w:right w:val="single" w:sz="6" w:space="0" w:color="auto"/>
            </w:tcBorders>
            <w:shd w:val="clear" w:color="auto" w:fill="auto"/>
          </w:tcPr>
          <w:p w:rsidR="000F59C8" w:rsidRPr="0092695A" w:rsidRDefault="000F59C8">
            <w:pPr>
              <w:spacing w:before="0" w:after="0"/>
              <w:jc w:val="left"/>
              <w:rPr>
                <w:rFonts w:ascii="Times New Roman" w:hAnsi="Times New Roman" w:cs="Times New Roman"/>
                <w:sz w:val="20"/>
                <w:szCs w:val="20"/>
              </w:rPr>
            </w:pPr>
            <w:r w:rsidRPr="0092695A">
              <w:rPr>
                <w:rFonts w:ascii="Times New Roman" w:hAnsi="Times New Roman" w:cs="Times New Roman"/>
                <w:bCs/>
                <w:iCs/>
                <w:sz w:val="20"/>
                <w:szCs w:val="20"/>
              </w:rPr>
              <w:t xml:space="preserve">Improvement in 60% of the indicators included in the SIGMA baseline measurement report on PAR (the 5 principles – a total </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0F59C8" w:rsidRPr="0092695A" w:rsidRDefault="000F59C8">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 xml:space="preserve">Total No of indicators: </w:t>
            </w:r>
            <w:r w:rsidR="00823726" w:rsidRPr="0092695A">
              <w:rPr>
                <w:rFonts w:ascii="Times New Roman" w:hAnsi="Times New Roman" w:cs="Times New Roman"/>
                <w:sz w:val="20"/>
                <w:szCs w:val="20"/>
              </w:rPr>
              <w:t>98</w:t>
            </w:r>
          </w:p>
        </w:tc>
        <w:tc>
          <w:tcPr>
            <w:tcW w:w="2464" w:type="dxa"/>
            <w:tcBorders>
              <w:top w:val="single" w:sz="6" w:space="0" w:color="auto"/>
              <w:left w:val="single" w:sz="6" w:space="0" w:color="auto"/>
              <w:bottom w:val="single" w:sz="6" w:space="0" w:color="auto"/>
              <w:right w:val="single" w:sz="6" w:space="0" w:color="auto"/>
            </w:tcBorders>
            <w:shd w:val="clear" w:color="auto" w:fill="auto"/>
          </w:tcPr>
          <w:p w:rsidR="000F59C8" w:rsidRPr="0092695A" w:rsidRDefault="00823726">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Improvement in 30% of the indicators</w:t>
            </w:r>
          </w:p>
        </w:tc>
        <w:tc>
          <w:tcPr>
            <w:tcW w:w="2567" w:type="dxa"/>
            <w:tcBorders>
              <w:top w:val="single" w:sz="6" w:space="0" w:color="auto"/>
              <w:left w:val="single" w:sz="6" w:space="0" w:color="auto"/>
              <w:bottom w:val="single" w:sz="6" w:space="0" w:color="auto"/>
              <w:right w:val="single" w:sz="6" w:space="0" w:color="auto"/>
            </w:tcBorders>
            <w:shd w:val="clear" w:color="auto" w:fill="auto"/>
          </w:tcPr>
          <w:p w:rsidR="000F59C8" w:rsidRPr="0092695A" w:rsidRDefault="00823726" w:rsidP="00823726">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Improvement in 50% of the indicators</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0F59C8" w:rsidRPr="0092695A" w:rsidRDefault="00823726">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SIGMA Assessment</w:t>
            </w:r>
          </w:p>
        </w:tc>
      </w:tr>
      <w:tr w:rsidR="00252DA0" w:rsidTr="00710AA1">
        <w:tc>
          <w:tcPr>
            <w:tcW w:w="3936"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Percentage of user satisfaction with the administrative services and servants (1 - worst, 5 - best)</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 = 3.48(2015)</w:t>
            </w:r>
            <w:r w:rsidRPr="0092695A">
              <w:rPr>
                <w:rStyle w:val="FootnoteReference"/>
                <w:rFonts w:ascii="Times New Roman" w:hAnsi="Times New Roman" w:cs="Times New Roman"/>
                <w:bCs/>
                <w:iCs/>
                <w:sz w:val="20"/>
                <w:szCs w:val="20"/>
              </w:rPr>
              <w:footnoteReference w:id="11"/>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2 = 12.02</w:t>
            </w:r>
          </w:p>
          <w:p w:rsidR="00252DA0" w:rsidRPr="0092695A" w:rsidRDefault="005E4C45">
            <w:pPr>
              <w:spacing w:before="0" w:after="0"/>
              <w:jc w:val="center"/>
              <w:rPr>
                <w:rFonts w:ascii="Times New Roman" w:eastAsia="Calibri" w:hAnsi="Times New Roman" w:cs="Times New Roman"/>
                <w:iCs/>
                <w:sz w:val="20"/>
                <w:szCs w:val="20"/>
                <w:lang w:eastAsia="en-US"/>
              </w:rPr>
            </w:pPr>
            <w:r w:rsidRPr="0092695A">
              <w:rPr>
                <w:rFonts w:ascii="Times New Roman" w:hAnsi="Times New Roman" w:cs="Times New Roman"/>
                <w:sz w:val="20"/>
                <w:szCs w:val="20"/>
              </w:rPr>
              <w:t>3 = 84.48</w:t>
            </w:r>
          </w:p>
        </w:tc>
        <w:tc>
          <w:tcPr>
            <w:tcW w:w="2464"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5 = 75</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4 = 15</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3 = 7</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2 = 2</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 = 1</w:t>
            </w:r>
          </w:p>
        </w:tc>
        <w:tc>
          <w:tcPr>
            <w:tcW w:w="2567"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5 = 75</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4 = 15</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3 = 7</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2 = 2</w:t>
            </w:r>
          </w:p>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 = 1</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Assess the administration– MISA</w:t>
            </w:r>
            <w:r w:rsidRPr="0092695A">
              <w:rPr>
                <w:rFonts w:ascii="Times New Roman" w:hAnsi="Times New Roman" w:cs="Times New Roman"/>
                <w:sz w:val="20"/>
                <w:szCs w:val="20"/>
              </w:rPr>
              <w:br/>
              <w:t>Annual Report of MISA</w:t>
            </w:r>
          </w:p>
          <w:p w:rsidR="00E64FCA" w:rsidRPr="0092695A" w:rsidRDefault="00E64FCA" w:rsidP="00E64FCA">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SIGMA assessment/monitoring report</w:t>
            </w:r>
          </w:p>
        </w:tc>
      </w:tr>
      <w:tr w:rsidR="00252DA0" w:rsidTr="00710AA1">
        <w:trPr>
          <w:trHeight w:val="633"/>
        </w:trPr>
        <w:tc>
          <w:tcPr>
            <w:tcW w:w="3936"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Corruption perception index (score and positive trend)</w:t>
            </w:r>
            <w:r w:rsidR="000C15CD" w:rsidRPr="0092695A">
              <w:rPr>
                <w:rFonts w:ascii="Times New Roman" w:hAnsi="Times New Roman" w:cs="Times New Roman"/>
                <w:sz w:val="20"/>
                <w:szCs w:val="20"/>
              </w:rPr>
              <w:t xml:space="preserve"> and Global Corruption Barometer</w:t>
            </w:r>
          </w:p>
        </w:tc>
        <w:tc>
          <w:tcPr>
            <w:tcW w:w="2340"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45 (2014)</w:t>
            </w:r>
            <w:r w:rsidR="009850F9">
              <w:rPr>
                <w:rFonts w:ascii="Times New Roman" w:hAnsi="Times New Roman" w:cs="Times New Roman"/>
                <w:sz w:val="20"/>
                <w:szCs w:val="20"/>
              </w:rPr>
              <w:t xml:space="preserve"> / </w:t>
            </w:r>
            <w:r w:rsidRPr="0092695A">
              <w:rPr>
                <w:rFonts w:ascii="Times New Roman" w:hAnsi="Times New Roman" w:cs="Times New Roman"/>
                <w:sz w:val="20"/>
                <w:szCs w:val="20"/>
              </w:rPr>
              <w:t>37 (2016)</w:t>
            </w:r>
          </w:p>
          <w:p w:rsidR="000C15CD" w:rsidRPr="0092695A" w:rsidRDefault="000C15CD">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GCB - 3 red, 2 orange (2015-2016)</w:t>
            </w:r>
          </w:p>
        </w:tc>
        <w:tc>
          <w:tcPr>
            <w:tcW w:w="2464"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 xml:space="preserve">45 </w:t>
            </w:r>
          </w:p>
          <w:p w:rsidR="000C15CD" w:rsidRPr="0092695A" w:rsidRDefault="001E65F9" w:rsidP="009850F9">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Improvements in at least 2 indicators</w:t>
            </w:r>
          </w:p>
        </w:tc>
        <w:tc>
          <w:tcPr>
            <w:tcW w:w="2567"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 xml:space="preserve">50 </w:t>
            </w:r>
          </w:p>
          <w:p w:rsidR="001E65F9" w:rsidRPr="0092695A" w:rsidRDefault="001E65F9" w:rsidP="009850F9">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Improvements in at least 3 indicators</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252DA0" w:rsidRPr="0092695A" w:rsidRDefault="005E4C45" w:rsidP="001E65F9">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Transparency International </w:t>
            </w:r>
          </w:p>
        </w:tc>
      </w:tr>
      <w:tr w:rsidR="00472FC2" w:rsidRPr="00BA7105" w:rsidTr="00710AA1">
        <w:tc>
          <w:tcPr>
            <w:tcW w:w="3936" w:type="dxa"/>
            <w:tcBorders>
              <w:top w:val="single" w:sz="6" w:space="0" w:color="auto"/>
            </w:tcBorders>
            <w:shd w:val="clear" w:color="auto" w:fill="auto"/>
          </w:tcPr>
          <w:p w:rsidR="00472FC2" w:rsidRPr="00BA7105" w:rsidRDefault="00472FC2" w:rsidP="00BA7105">
            <w:pPr>
              <w:spacing w:before="0" w:after="0"/>
              <w:jc w:val="left"/>
              <w:rPr>
                <w:rFonts w:ascii="Times New Roman" w:hAnsi="Times New Roman" w:cs="Times New Roman"/>
                <w:sz w:val="20"/>
                <w:szCs w:val="20"/>
              </w:rPr>
            </w:pPr>
            <w:r w:rsidRPr="00BA7105">
              <w:rPr>
                <w:rFonts w:ascii="Times New Roman" w:hAnsi="Times New Roman" w:cs="Times New Roman"/>
                <w:sz w:val="20"/>
                <w:szCs w:val="20"/>
              </w:rPr>
              <w:t xml:space="preserve">Percentage of statistics aligned with EU </w:t>
            </w:r>
            <w:r w:rsidRPr="00BA7105">
              <w:rPr>
                <w:rFonts w:ascii="Times New Roman" w:hAnsi="Times New Roman" w:cs="Times New Roman"/>
                <w:i/>
                <w:sz w:val="20"/>
                <w:szCs w:val="20"/>
              </w:rPr>
              <w:t>acquis</w:t>
            </w:r>
            <w:r w:rsidRPr="00BA7105">
              <w:rPr>
                <w:rFonts w:ascii="Times New Roman" w:hAnsi="Times New Roman" w:cs="Times New Roman"/>
                <w:sz w:val="20"/>
                <w:szCs w:val="20"/>
              </w:rPr>
              <w:t xml:space="preserve"> (Social, Business and National Accounts)</w:t>
            </w:r>
            <w:r w:rsidR="00BA7105" w:rsidRPr="00BA7105">
              <w:rPr>
                <w:rFonts w:ascii="Times New Roman" w:hAnsi="Times New Roman" w:cs="Times New Roman"/>
                <w:sz w:val="20"/>
                <w:szCs w:val="20"/>
              </w:rPr>
              <w:t xml:space="preserve"> / </w:t>
            </w:r>
            <w:r w:rsidR="00BA7105" w:rsidRPr="00BA7105">
              <w:rPr>
                <w:rFonts w:ascii="Times New Roman" w:eastAsia="Calibri" w:hAnsi="Times New Roman" w:cs="Times New Roman"/>
                <w:iCs/>
                <w:sz w:val="20"/>
                <w:szCs w:val="20"/>
              </w:rPr>
              <w:t xml:space="preserve">Compliance level calculated with the method of Eurostat's strategy for statistical cooperation under IPA II increased to 85% based on the </w:t>
            </w:r>
            <w:r w:rsidR="00BA7105" w:rsidRPr="00BA7105">
              <w:rPr>
                <w:rFonts w:ascii="Times New Roman" w:hAnsi="Times New Roman" w:cs="Times New Roman"/>
                <w:sz w:val="20"/>
                <w:szCs w:val="20"/>
              </w:rPr>
              <w:t xml:space="preserve">currently existing EU </w:t>
            </w:r>
            <w:r w:rsidR="00BA7105" w:rsidRPr="00BA7105">
              <w:rPr>
                <w:rFonts w:ascii="Times New Roman" w:hAnsi="Times New Roman" w:cs="Times New Roman"/>
                <w:i/>
                <w:iCs/>
                <w:sz w:val="20"/>
                <w:szCs w:val="20"/>
              </w:rPr>
              <w:t>acquis</w:t>
            </w:r>
            <w:r w:rsidR="00BA7105" w:rsidRPr="00BA7105">
              <w:rPr>
                <w:rFonts w:ascii="Times New Roman" w:eastAsia="Calibri" w:hAnsi="Times New Roman" w:cs="Times New Roman"/>
                <w:iCs/>
                <w:sz w:val="20"/>
                <w:szCs w:val="20"/>
              </w:rPr>
              <w:t xml:space="preserve"> in statistics;</w:t>
            </w:r>
          </w:p>
        </w:tc>
        <w:tc>
          <w:tcPr>
            <w:tcW w:w="2340" w:type="dxa"/>
            <w:tcBorders>
              <w:top w:val="single" w:sz="6" w:space="0" w:color="auto"/>
            </w:tcBorders>
            <w:shd w:val="clear" w:color="auto" w:fill="auto"/>
          </w:tcPr>
          <w:p w:rsidR="00472FC2" w:rsidRPr="00BA7105" w:rsidRDefault="00472FC2" w:rsidP="00E538A9">
            <w:pPr>
              <w:spacing w:before="0" w:after="0"/>
              <w:jc w:val="center"/>
              <w:rPr>
                <w:rFonts w:ascii="Times New Roman" w:eastAsia="Calibri" w:hAnsi="Times New Roman" w:cs="Times New Roman"/>
                <w:iCs/>
                <w:sz w:val="20"/>
                <w:szCs w:val="20"/>
                <w:lang w:eastAsia="en-US"/>
              </w:rPr>
            </w:pPr>
            <w:r w:rsidRPr="00BA7105">
              <w:rPr>
                <w:rFonts w:ascii="Times New Roman" w:hAnsi="Times New Roman" w:cs="Times New Roman"/>
                <w:iCs/>
                <w:sz w:val="20"/>
                <w:szCs w:val="20"/>
              </w:rPr>
              <w:t>55% (2015)</w:t>
            </w:r>
          </w:p>
        </w:tc>
        <w:tc>
          <w:tcPr>
            <w:tcW w:w="2464" w:type="dxa"/>
            <w:tcBorders>
              <w:top w:val="single" w:sz="6" w:space="0" w:color="auto"/>
            </w:tcBorders>
            <w:shd w:val="clear" w:color="auto" w:fill="auto"/>
          </w:tcPr>
          <w:p w:rsidR="00472FC2" w:rsidRPr="00BA7105" w:rsidRDefault="00472FC2" w:rsidP="00E538A9">
            <w:pPr>
              <w:spacing w:before="0" w:after="0"/>
              <w:jc w:val="center"/>
              <w:rPr>
                <w:rFonts w:ascii="Times New Roman" w:eastAsia="Calibri" w:hAnsi="Times New Roman" w:cs="Times New Roman"/>
                <w:iCs/>
                <w:sz w:val="20"/>
                <w:szCs w:val="20"/>
                <w:lang w:eastAsia="en-US"/>
              </w:rPr>
            </w:pPr>
            <w:r w:rsidRPr="00BA7105">
              <w:rPr>
                <w:rFonts w:ascii="Times New Roman" w:hAnsi="Times New Roman" w:cs="Times New Roman"/>
                <w:iCs/>
                <w:sz w:val="20"/>
                <w:szCs w:val="20"/>
              </w:rPr>
              <w:t>85%</w:t>
            </w:r>
          </w:p>
        </w:tc>
        <w:tc>
          <w:tcPr>
            <w:tcW w:w="2567" w:type="dxa"/>
            <w:tcBorders>
              <w:top w:val="single" w:sz="6" w:space="0" w:color="auto"/>
            </w:tcBorders>
            <w:shd w:val="clear" w:color="auto" w:fill="auto"/>
          </w:tcPr>
          <w:p w:rsidR="00472FC2" w:rsidRPr="00BA7105" w:rsidRDefault="00472FC2" w:rsidP="004E1C8C">
            <w:pPr>
              <w:spacing w:before="0" w:after="0"/>
              <w:jc w:val="center"/>
              <w:rPr>
                <w:rFonts w:ascii="Times New Roman" w:eastAsia="Calibri" w:hAnsi="Times New Roman" w:cs="Times New Roman"/>
                <w:iCs/>
                <w:sz w:val="20"/>
                <w:szCs w:val="20"/>
                <w:lang w:eastAsia="en-US"/>
              </w:rPr>
            </w:pPr>
            <w:r w:rsidRPr="00BA7105">
              <w:rPr>
                <w:rFonts w:ascii="Times New Roman" w:hAnsi="Times New Roman" w:cs="Times New Roman"/>
                <w:iCs/>
                <w:sz w:val="20"/>
                <w:szCs w:val="20"/>
              </w:rPr>
              <w:t>95%</w:t>
            </w:r>
          </w:p>
        </w:tc>
        <w:tc>
          <w:tcPr>
            <w:tcW w:w="3685" w:type="dxa"/>
            <w:vMerge w:val="restart"/>
            <w:tcBorders>
              <w:top w:val="single" w:sz="6" w:space="0" w:color="auto"/>
            </w:tcBorders>
            <w:shd w:val="clear" w:color="auto" w:fill="auto"/>
          </w:tcPr>
          <w:p w:rsidR="00472FC2" w:rsidRDefault="00472FC2" w:rsidP="00E538A9">
            <w:pPr>
              <w:spacing w:before="0" w:after="0"/>
              <w:jc w:val="left"/>
              <w:rPr>
                <w:rFonts w:ascii="Times New Roman" w:hAnsi="Times New Roman" w:cs="Times New Roman"/>
                <w:iCs/>
                <w:sz w:val="20"/>
                <w:szCs w:val="20"/>
              </w:rPr>
            </w:pPr>
            <w:r w:rsidRPr="00BA7105">
              <w:rPr>
                <w:rFonts w:ascii="Times New Roman" w:hAnsi="Times New Roman" w:cs="Times New Roman"/>
                <w:iCs/>
                <w:sz w:val="20"/>
                <w:szCs w:val="20"/>
              </w:rPr>
              <w:t>Eurostat Strategy for Statistical Cooperation with the Enlargement Countries 2014/20</w:t>
            </w:r>
            <w:r w:rsidRPr="00BA7105">
              <w:rPr>
                <w:rFonts w:ascii="Times New Roman" w:hAnsi="Times New Roman" w:cs="Times New Roman"/>
                <w:iCs/>
                <w:sz w:val="20"/>
                <w:szCs w:val="20"/>
              </w:rPr>
              <w:br/>
              <w:t>SMIS+ reports</w:t>
            </w:r>
            <w:r w:rsidRPr="00BA7105">
              <w:rPr>
                <w:rFonts w:ascii="Times New Roman" w:hAnsi="Times New Roman" w:cs="Times New Roman"/>
                <w:iCs/>
                <w:sz w:val="20"/>
                <w:szCs w:val="20"/>
              </w:rPr>
              <w:br/>
              <w:t>EDAMIS reports</w:t>
            </w:r>
          </w:p>
          <w:p w:rsidR="00BA7105" w:rsidRDefault="00BA7105" w:rsidP="00E538A9">
            <w:pPr>
              <w:spacing w:before="0" w:after="0"/>
              <w:jc w:val="left"/>
              <w:rPr>
                <w:rFonts w:ascii="Times New Roman" w:hAnsi="Times New Roman" w:cs="Times New Roman"/>
                <w:iCs/>
                <w:sz w:val="20"/>
                <w:szCs w:val="20"/>
              </w:rPr>
            </w:pPr>
          </w:p>
          <w:p w:rsidR="00BA7105" w:rsidRDefault="00BA7105" w:rsidP="00E538A9">
            <w:pPr>
              <w:spacing w:before="0" w:after="0"/>
              <w:jc w:val="left"/>
              <w:rPr>
                <w:rFonts w:ascii="Times New Roman" w:hAnsi="Times New Roman" w:cs="Times New Roman"/>
                <w:iCs/>
                <w:sz w:val="20"/>
                <w:szCs w:val="20"/>
              </w:rPr>
            </w:pPr>
          </w:p>
          <w:p w:rsidR="00BA7105" w:rsidRDefault="00BA7105" w:rsidP="00E538A9">
            <w:pPr>
              <w:spacing w:before="0" w:after="0"/>
              <w:jc w:val="left"/>
              <w:rPr>
                <w:rFonts w:ascii="Times New Roman" w:hAnsi="Times New Roman" w:cs="Times New Roman"/>
                <w:iCs/>
                <w:sz w:val="20"/>
                <w:szCs w:val="20"/>
              </w:rPr>
            </w:pPr>
          </w:p>
          <w:p w:rsidR="00BA7105" w:rsidRDefault="00BA7105" w:rsidP="00A606B5">
            <w:pPr>
              <w:numPr>
                <w:ilvl w:val="12"/>
                <w:numId w:val="0"/>
              </w:numPr>
              <w:spacing w:before="0" w:after="0"/>
              <w:jc w:val="left"/>
              <w:rPr>
                <w:rFonts w:ascii="Times New Roman" w:hAnsi="Times New Roman" w:cs="Times New Roman"/>
                <w:iCs/>
                <w:sz w:val="20"/>
                <w:szCs w:val="20"/>
              </w:rPr>
            </w:pPr>
            <w:r>
              <w:rPr>
                <w:rFonts w:ascii="Times New Roman" w:hAnsi="Times New Roman" w:cs="Times New Roman"/>
                <w:iCs/>
                <w:sz w:val="20"/>
                <w:szCs w:val="20"/>
              </w:rPr>
              <w:t>Peer review/ Eurostat assessments</w:t>
            </w:r>
          </w:p>
          <w:p w:rsidR="00BA7105" w:rsidRDefault="00BA7105" w:rsidP="00A606B5">
            <w:pPr>
              <w:numPr>
                <w:ilvl w:val="12"/>
                <w:numId w:val="0"/>
              </w:numPr>
              <w:spacing w:before="0" w:after="0"/>
              <w:jc w:val="left"/>
              <w:rPr>
                <w:rFonts w:ascii="Times New Roman" w:hAnsi="Times New Roman" w:cs="Times New Roman"/>
                <w:iCs/>
                <w:sz w:val="20"/>
                <w:szCs w:val="20"/>
              </w:rPr>
            </w:pPr>
          </w:p>
          <w:p w:rsidR="00BA7105" w:rsidRDefault="00BA7105" w:rsidP="00A606B5">
            <w:pPr>
              <w:numPr>
                <w:ilvl w:val="12"/>
                <w:numId w:val="0"/>
              </w:numPr>
              <w:spacing w:before="0" w:after="0"/>
              <w:jc w:val="left"/>
              <w:rPr>
                <w:rFonts w:ascii="Times New Roman" w:hAnsi="Times New Roman" w:cs="Times New Roman"/>
                <w:iCs/>
                <w:sz w:val="20"/>
                <w:szCs w:val="20"/>
              </w:rPr>
            </w:pPr>
          </w:p>
          <w:p w:rsidR="00BA7105" w:rsidRDefault="00BA7105" w:rsidP="00A606B5">
            <w:pPr>
              <w:numPr>
                <w:ilvl w:val="12"/>
                <w:numId w:val="0"/>
              </w:numPr>
              <w:spacing w:before="0" w:after="0"/>
              <w:jc w:val="left"/>
              <w:rPr>
                <w:rFonts w:ascii="Times New Roman" w:hAnsi="Times New Roman" w:cs="Times New Roman"/>
                <w:iCs/>
                <w:sz w:val="20"/>
                <w:szCs w:val="20"/>
              </w:rPr>
            </w:pPr>
          </w:p>
          <w:p w:rsidR="00BA7105" w:rsidRDefault="00BA7105" w:rsidP="00BA7105">
            <w:pPr>
              <w:numPr>
                <w:ilvl w:val="12"/>
                <w:numId w:val="0"/>
              </w:numPr>
              <w:spacing w:before="0" w:after="0"/>
              <w:jc w:val="left"/>
              <w:rPr>
                <w:rFonts w:ascii="Times New Roman" w:hAnsi="Times New Roman" w:cs="Times New Roman"/>
                <w:iCs/>
                <w:sz w:val="20"/>
                <w:szCs w:val="20"/>
              </w:rPr>
            </w:pPr>
            <w:r w:rsidRPr="00BA7105">
              <w:rPr>
                <w:rFonts w:ascii="Times New Roman" w:hAnsi="Times New Roman" w:cs="Times New Roman"/>
                <w:iCs/>
                <w:sz w:val="20"/>
                <w:szCs w:val="20"/>
              </w:rPr>
              <w:t>K</w:t>
            </w:r>
            <w:r w:rsidR="004820EA">
              <w:rPr>
                <w:rFonts w:ascii="Times New Roman" w:hAnsi="Times New Roman" w:cs="Times New Roman"/>
                <w:iCs/>
                <w:sz w:val="20"/>
                <w:szCs w:val="20"/>
              </w:rPr>
              <w:t xml:space="preserve">ey programming documents (ERP, </w:t>
            </w:r>
            <w:r w:rsidRPr="00BA7105">
              <w:rPr>
                <w:rFonts w:ascii="Times New Roman" w:hAnsi="Times New Roman" w:cs="Times New Roman"/>
                <w:iCs/>
                <w:sz w:val="20"/>
                <w:szCs w:val="20"/>
              </w:rPr>
              <w:t>E</w:t>
            </w:r>
            <w:r w:rsidR="004820EA">
              <w:rPr>
                <w:rFonts w:ascii="Times New Roman" w:hAnsi="Times New Roman" w:cs="Times New Roman"/>
                <w:iCs/>
                <w:sz w:val="20"/>
                <w:szCs w:val="20"/>
              </w:rPr>
              <w:t>S</w:t>
            </w:r>
            <w:r w:rsidRPr="00BA7105">
              <w:rPr>
                <w:rFonts w:ascii="Times New Roman" w:hAnsi="Times New Roman" w:cs="Times New Roman"/>
                <w:iCs/>
                <w:sz w:val="20"/>
                <w:szCs w:val="20"/>
              </w:rPr>
              <w:t>RP, sector strategies, etc – indicators dashboard)</w:t>
            </w:r>
          </w:p>
          <w:p w:rsidR="00BA7105" w:rsidRPr="00BA7105" w:rsidRDefault="00BA7105" w:rsidP="00A606B5">
            <w:pPr>
              <w:numPr>
                <w:ilvl w:val="12"/>
                <w:numId w:val="0"/>
              </w:numPr>
              <w:spacing w:before="0" w:after="0"/>
              <w:jc w:val="left"/>
              <w:rPr>
                <w:rFonts w:ascii="Times New Roman" w:hAnsi="Times New Roman" w:cs="Times New Roman"/>
                <w:iCs/>
                <w:sz w:val="20"/>
                <w:szCs w:val="20"/>
              </w:rPr>
            </w:pPr>
          </w:p>
        </w:tc>
      </w:tr>
      <w:tr w:rsidR="00BA7105" w:rsidRPr="00BA7105" w:rsidTr="00710AA1">
        <w:tc>
          <w:tcPr>
            <w:tcW w:w="3936" w:type="dxa"/>
            <w:tcBorders>
              <w:top w:val="single" w:sz="6" w:space="0" w:color="auto"/>
            </w:tcBorders>
            <w:shd w:val="clear" w:color="auto" w:fill="auto"/>
          </w:tcPr>
          <w:p w:rsidR="00BA7105" w:rsidRPr="00BA7105" w:rsidDel="00BA2001" w:rsidRDefault="00BA7105" w:rsidP="00BA7105">
            <w:pPr>
              <w:autoSpaceDE w:val="0"/>
              <w:autoSpaceDN w:val="0"/>
              <w:adjustRightInd w:val="0"/>
              <w:spacing w:before="0" w:after="0"/>
              <w:jc w:val="left"/>
              <w:rPr>
                <w:rFonts w:ascii="Times New Roman" w:hAnsi="Times New Roman" w:cs="Times New Roman"/>
                <w:sz w:val="20"/>
                <w:szCs w:val="20"/>
              </w:rPr>
            </w:pPr>
            <w:r w:rsidRPr="003E7919">
              <w:rPr>
                <w:rFonts w:ascii="Times New Roman" w:eastAsia="Calibri" w:hAnsi="Times New Roman" w:cs="Times New Roman"/>
                <w:iCs/>
                <w:sz w:val="20"/>
                <w:szCs w:val="20"/>
              </w:rPr>
              <w:t>Availability of statistical infrastructure for rational and efficient statistical production (business register, population register and other registers linked to each other in an interoperable way);</w:t>
            </w:r>
          </w:p>
        </w:tc>
        <w:tc>
          <w:tcPr>
            <w:tcW w:w="2340" w:type="dxa"/>
            <w:tcBorders>
              <w:top w:val="single" w:sz="6" w:space="0" w:color="auto"/>
            </w:tcBorders>
            <w:shd w:val="clear" w:color="auto" w:fill="auto"/>
          </w:tcPr>
          <w:p w:rsidR="00BA7105" w:rsidRPr="00BA7105" w:rsidRDefault="00BA7105">
            <w:pPr>
              <w:spacing w:before="0" w:after="0"/>
              <w:jc w:val="center"/>
              <w:rPr>
                <w:rFonts w:ascii="Times New Roman" w:hAnsi="Times New Roman" w:cs="Times New Roman"/>
                <w:iCs/>
                <w:sz w:val="20"/>
                <w:szCs w:val="20"/>
              </w:rPr>
            </w:pPr>
            <w:r>
              <w:rPr>
                <w:rFonts w:ascii="Times New Roman" w:hAnsi="Times New Roman" w:cs="Times New Roman"/>
                <w:iCs/>
                <w:sz w:val="20"/>
                <w:szCs w:val="20"/>
              </w:rPr>
              <w:t>partial</w:t>
            </w:r>
          </w:p>
        </w:tc>
        <w:tc>
          <w:tcPr>
            <w:tcW w:w="2464" w:type="dxa"/>
            <w:tcBorders>
              <w:top w:val="single" w:sz="6" w:space="0" w:color="auto"/>
            </w:tcBorders>
            <w:shd w:val="clear" w:color="auto" w:fill="auto"/>
          </w:tcPr>
          <w:p w:rsidR="00BA7105" w:rsidRPr="00BA7105" w:rsidRDefault="00BA7105">
            <w:pPr>
              <w:spacing w:before="0" w:after="0"/>
              <w:jc w:val="center"/>
              <w:rPr>
                <w:rFonts w:ascii="Times New Roman" w:hAnsi="Times New Roman" w:cs="Times New Roman"/>
                <w:iCs/>
                <w:sz w:val="20"/>
                <w:szCs w:val="20"/>
              </w:rPr>
            </w:pPr>
            <w:r>
              <w:rPr>
                <w:rFonts w:ascii="Times New Roman" w:hAnsi="Times New Roman" w:cs="Times New Roman"/>
                <w:iCs/>
                <w:sz w:val="20"/>
                <w:szCs w:val="20"/>
              </w:rPr>
              <w:t>Upgrade of the key registers in line with Eurostat standards</w:t>
            </w:r>
          </w:p>
        </w:tc>
        <w:tc>
          <w:tcPr>
            <w:tcW w:w="2567" w:type="dxa"/>
            <w:tcBorders>
              <w:top w:val="single" w:sz="6" w:space="0" w:color="auto"/>
            </w:tcBorders>
            <w:shd w:val="clear" w:color="auto" w:fill="auto"/>
          </w:tcPr>
          <w:p w:rsidR="00BA7105" w:rsidRPr="00BA7105" w:rsidRDefault="00BA7105">
            <w:pPr>
              <w:spacing w:before="0" w:after="0"/>
              <w:jc w:val="center"/>
              <w:rPr>
                <w:rFonts w:ascii="Times New Roman" w:hAnsi="Times New Roman" w:cs="Times New Roman"/>
                <w:iCs/>
                <w:sz w:val="20"/>
                <w:szCs w:val="20"/>
              </w:rPr>
            </w:pPr>
            <w:r>
              <w:rPr>
                <w:rFonts w:ascii="Times New Roman" w:hAnsi="Times New Roman" w:cs="Times New Roman"/>
                <w:iCs/>
                <w:sz w:val="20"/>
                <w:szCs w:val="20"/>
              </w:rPr>
              <w:t>Full interoperability achieved among the key registers</w:t>
            </w:r>
          </w:p>
        </w:tc>
        <w:tc>
          <w:tcPr>
            <w:tcW w:w="3685" w:type="dxa"/>
            <w:vMerge/>
            <w:shd w:val="clear" w:color="auto" w:fill="auto"/>
          </w:tcPr>
          <w:p w:rsidR="00BA7105" w:rsidRPr="00BA7105" w:rsidRDefault="00BA7105">
            <w:pPr>
              <w:spacing w:before="0" w:after="0"/>
              <w:jc w:val="left"/>
              <w:rPr>
                <w:rFonts w:ascii="Times New Roman" w:hAnsi="Times New Roman" w:cs="Times New Roman"/>
                <w:iCs/>
                <w:sz w:val="20"/>
                <w:szCs w:val="20"/>
              </w:rPr>
            </w:pPr>
          </w:p>
        </w:tc>
      </w:tr>
      <w:tr w:rsidR="00710AA1" w:rsidRPr="00FB0112" w:rsidTr="00710AA1">
        <w:tc>
          <w:tcPr>
            <w:tcW w:w="3936" w:type="dxa"/>
            <w:tcBorders>
              <w:top w:val="single" w:sz="6" w:space="0" w:color="auto"/>
            </w:tcBorders>
            <w:shd w:val="clear" w:color="auto" w:fill="auto"/>
          </w:tcPr>
          <w:p w:rsidR="00710AA1" w:rsidRPr="00710AA1" w:rsidDel="00BA2001" w:rsidRDefault="00710AA1" w:rsidP="00017EF6">
            <w:pPr>
              <w:tabs>
                <w:tab w:val="left" w:pos="214"/>
              </w:tabs>
              <w:spacing w:before="60" w:after="0"/>
              <w:jc w:val="left"/>
              <w:rPr>
                <w:rFonts w:ascii="Times New Roman" w:hAnsi="Times New Roman" w:cs="Times New Roman"/>
                <w:bCs/>
                <w:iCs/>
                <w:sz w:val="20"/>
                <w:szCs w:val="20"/>
              </w:rPr>
            </w:pPr>
            <w:r w:rsidRPr="00710AA1">
              <w:rPr>
                <w:rFonts w:ascii="Times New Roman" w:hAnsi="Times New Roman" w:cs="Times New Roman"/>
                <w:sz w:val="20"/>
                <w:szCs w:val="20"/>
              </w:rPr>
              <w:t>Availability of IT infrastructure for efficient statistical production (Integrated data collection system, IT system for classification management,  Metadata driven IT system for editing, imputation, validation, aggregation and analysis )</w:t>
            </w:r>
          </w:p>
        </w:tc>
        <w:tc>
          <w:tcPr>
            <w:tcW w:w="2340" w:type="dxa"/>
            <w:tcBorders>
              <w:top w:val="single" w:sz="6" w:space="0" w:color="auto"/>
            </w:tcBorders>
            <w:shd w:val="clear" w:color="auto" w:fill="auto"/>
          </w:tcPr>
          <w:p w:rsidR="00710AA1" w:rsidRPr="00710AA1" w:rsidRDefault="00710AA1">
            <w:pPr>
              <w:spacing w:before="0" w:after="0"/>
              <w:jc w:val="center"/>
              <w:rPr>
                <w:rFonts w:ascii="Times New Roman" w:hAnsi="Times New Roman" w:cs="Times New Roman"/>
                <w:iCs/>
                <w:sz w:val="20"/>
                <w:szCs w:val="20"/>
              </w:rPr>
            </w:pPr>
            <w:r w:rsidRPr="00710AA1">
              <w:rPr>
                <w:rFonts w:ascii="Times New Roman" w:hAnsi="Times New Roman" w:cs="Times New Roman"/>
                <w:sz w:val="20"/>
                <w:szCs w:val="20"/>
              </w:rPr>
              <w:t>none</w:t>
            </w:r>
          </w:p>
        </w:tc>
        <w:tc>
          <w:tcPr>
            <w:tcW w:w="2464" w:type="dxa"/>
            <w:tcBorders>
              <w:top w:val="single" w:sz="6" w:space="0" w:color="auto"/>
            </w:tcBorders>
            <w:shd w:val="clear" w:color="auto" w:fill="auto"/>
          </w:tcPr>
          <w:p w:rsidR="00710AA1" w:rsidRPr="00710AA1" w:rsidRDefault="00710AA1">
            <w:pPr>
              <w:spacing w:before="0" w:after="0"/>
              <w:jc w:val="center"/>
              <w:rPr>
                <w:rFonts w:ascii="Times New Roman" w:hAnsi="Times New Roman" w:cs="Times New Roman"/>
                <w:iCs/>
                <w:sz w:val="20"/>
                <w:szCs w:val="20"/>
              </w:rPr>
            </w:pPr>
            <w:r w:rsidRPr="00710AA1">
              <w:rPr>
                <w:rFonts w:ascii="Times New Roman" w:hAnsi="Times New Roman" w:cs="Times New Roman"/>
                <w:sz w:val="20"/>
                <w:szCs w:val="20"/>
              </w:rPr>
              <w:t>Integrated data collection system put into function (2021)</w:t>
            </w:r>
          </w:p>
        </w:tc>
        <w:tc>
          <w:tcPr>
            <w:tcW w:w="2567" w:type="dxa"/>
            <w:tcBorders>
              <w:top w:val="single" w:sz="6" w:space="0" w:color="auto"/>
            </w:tcBorders>
            <w:shd w:val="clear" w:color="auto" w:fill="auto"/>
          </w:tcPr>
          <w:p w:rsidR="00710AA1" w:rsidRPr="00710AA1" w:rsidRDefault="00710AA1" w:rsidP="00710AA1">
            <w:pPr>
              <w:spacing w:before="0"/>
              <w:jc w:val="center"/>
              <w:rPr>
                <w:rFonts w:ascii="Times New Roman" w:hAnsi="Times New Roman" w:cs="Times New Roman"/>
                <w:sz w:val="20"/>
                <w:szCs w:val="20"/>
                <w:lang w:val="en-US" w:eastAsia="en-US"/>
              </w:rPr>
            </w:pPr>
            <w:r w:rsidRPr="00710AA1">
              <w:rPr>
                <w:rFonts w:ascii="Times New Roman" w:hAnsi="Times New Roman" w:cs="Times New Roman"/>
                <w:sz w:val="20"/>
                <w:szCs w:val="20"/>
              </w:rPr>
              <w:t>IT system for classification management put into function (2022)</w:t>
            </w:r>
          </w:p>
          <w:p w:rsidR="00710AA1" w:rsidRPr="00710AA1" w:rsidRDefault="00710AA1">
            <w:pPr>
              <w:spacing w:before="0" w:after="0"/>
              <w:jc w:val="center"/>
              <w:rPr>
                <w:rFonts w:ascii="Times New Roman" w:hAnsi="Times New Roman" w:cs="Times New Roman"/>
                <w:iCs/>
                <w:sz w:val="20"/>
                <w:szCs w:val="20"/>
              </w:rPr>
            </w:pPr>
            <w:r w:rsidRPr="00710AA1">
              <w:rPr>
                <w:rFonts w:ascii="Times New Roman" w:hAnsi="Times New Roman" w:cs="Times New Roman"/>
                <w:sz w:val="20"/>
                <w:szCs w:val="20"/>
              </w:rPr>
              <w:t>30% of surveys processed with  metadata driven IT system for editing, imputation, validation, aggregation, analysis and dissemination (2023)</w:t>
            </w:r>
          </w:p>
        </w:tc>
        <w:tc>
          <w:tcPr>
            <w:tcW w:w="3685" w:type="dxa"/>
            <w:vMerge/>
            <w:shd w:val="clear" w:color="auto" w:fill="auto"/>
          </w:tcPr>
          <w:p w:rsidR="00710AA1" w:rsidRPr="003E7919" w:rsidRDefault="00710AA1">
            <w:pPr>
              <w:spacing w:before="0" w:after="0"/>
              <w:jc w:val="left"/>
              <w:rPr>
                <w:rFonts w:ascii="Times New Roman" w:hAnsi="Times New Roman" w:cs="Times New Roman"/>
                <w:iCs/>
                <w:sz w:val="20"/>
                <w:szCs w:val="20"/>
              </w:rPr>
            </w:pPr>
          </w:p>
        </w:tc>
      </w:tr>
      <w:tr w:rsidR="00472FC2" w:rsidRPr="00FB0112" w:rsidTr="00710AA1">
        <w:tc>
          <w:tcPr>
            <w:tcW w:w="3936" w:type="dxa"/>
            <w:tcBorders>
              <w:top w:val="single" w:sz="6" w:space="0" w:color="auto"/>
            </w:tcBorders>
            <w:shd w:val="clear" w:color="auto" w:fill="auto"/>
          </w:tcPr>
          <w:p w:rsidR="00472FC2" w:rsidRPr="003E7919" w:rsidRDefault="00BA2001" w:rsidP="00017EF6">
            <w:pPr>
              <w:tabs>
                <w:tab w:val="left" w:pos="214"/>
              </w:tabs>
              <w:spacing w:before="60" w:after="0"/>
              <w:jc w:val="left"/>
              <w:rPr>
                <w:rFonts w:ascii="Times New Roman" w:hAnsi="Times New Roman"/>
                <w:sz w:val="20"/>
                <w:szCs w:val="20"/>
              </w:rPr>
            </w:pPr>
            <w:r w:rsidRPr="003E7919">
              <w:rPr>
                <w:rFonts w:ascii="Times New Roman" w:hAnsi="Times New Roman"/>
                <w:bCs/>
                <w:iCs/>
                <w:sz w:val="20"/>
                <w:szCs w:val="20"/>
              </w:rPr>
              <w:t xml:space="preserve">Use </w:t>
            </w:r>
            <w:r w:rsidR="00472FC2" w:rsidRPr="003E7919">
              <w:rPr>
                <w:rFonts w:ascii="Times New Roman" w:hAnsi="Times New Roman"/>
                <w:bCs/>
                <w:iCs/>
                <w:sz w:val="20"/>
                <w:szCs w:val="20"/>
              </w:rPr>
              <w:t>of harmonised statistics in state planning</w:t>
            </w:r>
            <w:r w:rsidR="00FB0112" w:rsidRPr="003E7919">
              <w:rPr>
                <w:rFonts w:ascii="Times New Roman" w:hAnsi="Times New Roman"/>
                <w:bCs/>
                <w:iCs/>
                <w:sz w:val="20"/>
                <w:szCs w:val="20"/>
              </w:rPr>
              <w:t xml:space="preserve">(Indicators dashboard /Number of indicators/harmonised sttaistics used in strategic planning, monitoring and reporting on key documents i.e. Economic Reform Programme, </w:t>
            </w:r>
            <w:r w:rsidR="00017EF6">
              <w:rPr>
                <w:rFonts w:ascii="Times New Roman" w:hAnsi="Times New Roman"/>
                <w:bCs/>
                <w:iCs/>
                <w:sz w:val="20"/>
                <w:szCs w:val="20"/>
              </w:rPr>
              <w:t xml:space="preserve">Employment and Social </w:t>
            </w:r>
            <w:r w:rsidR="00FB0112" w:rsidRPr="003E7919">
              <w:rPr>
                <w:rFonts w:ascii="Times New Roman" w:hAnsi="Times New Roman"/>
                <w:bCs/>
                <w:iCs/>
                <w:sz w:val="20"/>
                <w:szCs w:val="20"/>
              </w:rPr>
              <w:t>Reform Programme, key sector strategies)</w:t>
            </w:r>
          </w:p>
        </w:tc>
        <w:tc>
          <w:tcPr>
            <w:tcW w:w="2340" w:type="dxa"/>
            <w:tcBorders>
              <w:top w:val="single" w:sz="6" w:space="0" w:color="auto"/>
            </w:tcBorders>
            <w:shd w:val="clear" w:color="auto" w:fill="auto"/>
          </w:tcPr>
          <w:p w:rsidR="00472FC2" w:rsidRPr="003E7919" w:rsidRDefault="00472FC2">
            <w:pPr>
              <w:spacing w:before="0" w:after="0"/>
              <w:jc w:val="center"/>
              <w:rPr>
                <w:rFonts w:ascii="Times New Roman" w:hAnsi="Times New Roman" w:cs="Times New Roman"/>
                <w:iCs/>
                <w:sz w:val="20"/>
                <w:szCs w:val="20"/>
              </w:rPr>
            </w:pPr>
            <w:r w:rsidRPr="003E7919">
              <w:rPr>
                <w:rFonts w:ascii="Times New Roman" w:hAnsi="Times New Roman" w:cs="Times New Roman"/>
                <w:iCs/>
                <w:sz w:val="20"/>
                <w:szCs w:val="20"/>
              </w:rPr>
              <w:t>30%</w:t>
            </w:r>
          </w:p>
        </w:tc>
        <w:tc>
          <w:tcPr>
            <w:tcW w:w="2464" w:type="dxa"/>
            <w:tcBorders>
              <w:top w:val="single" w:sz="6" w:space="0" w:color="auto"/>
            </w:tcBorders>
            <w:shd w:val="clear" w:color="auto" w:fill="auto"/>
          </w:tcPr>
          <w:p w:rsidR="00472FC2" w:rsidRPr="003E7919" w:rsidRDefault="00472FC2">
            <w:pPr>
              <w:spacing w:before="0" w:after="0"/>
              <w:jc w:val="center"/>
              <w:rPr>
                <w:rFonts w:ascii="Times New Roman" w:hAnsi="Times New Roman" w:cs="Times New Roman"/>
                <w:iCs/>
                <w:sz w:val="20"/>
                <w:szCs w:val="20"/>
              </w:rPr>
            </w:pPr>
            <w:r w:rsidRPr="003E7919">
              <w:rPr>
                <w:rFonts w:ascii="Times New Roman" w:hAnsi="Times New Roman" w:cs="Times New Roman"/>
                <w:iCs/>
                <w:sz w:val="20"/>
                <w:szCs w:val="20"/>
              </w:rPr>
              <w:t>50%</w:t>
            </w:r>
          </w:p>
        </w:tc>
        <w:tc>
          <w:tcPr>
            <w:tcW w:w="2567" w:type="dxa"/>
            <w:tcBorders>
              <w:top w:val="single" w:sz="6" w:space="0" w:color="auto"/>
            </w:tcBorders>
            <w:shd w:val="clear" w:color="auto" w:fill="auto"/>
          </w:tcPr>
          <w:p w:rsidR="00472FC2" w:rsidRPr="003E7919" w:rsidRDefault="00472FC2">
            <w:pPr>
              <w:spacing w:before="0" w:after="0"/>
              <w:jc w:val="center"/>
              <w:rPr>
                <w:rFonts w:ascii="Times New Roman" w:hAnsi="Times New Roman" w:cs="Times New Roman"/>
                <w:iCs/>
                <w:sz w:val="20"/>
                <w:szCs w:val="20"/>
              </w:rPr>
            </w:pPr>
            <w:r w:rsidRPr="003E7919">
              <w:rPr>
                <w:rFonts w:ascii="Times New Roman" w:hAnsi="Times New Roman" w:cs="Times New Roman"/>
                <w:iCs/>
                <w:sz w:val="20"/>
                <w:szCs w:val="20"/>
              </w:rPr>
              <w:t>70%</w:t>
            </w:r>
          </w:p>
        </w:tc>
        <w:tc>
          <w:tcPr>
            <w:tcW w:w="3685" w:type="dxa"/>
            <w:vMerge/>
            <w:shd w:val="clear" w:color="auto" w:fill="auto"/>
          </w:tcPr>
          <w:p w:rsidR="00472FC2" w:rsidRPr="003E7919" w:rsidRDefault="00472FC2">
            <w:pPr>
              <w:spacing w:before="0" w:after="0"/>
              <w:jc w:val="left"/>
              <w:rPr>
                <w:rFonts w:ascii="Times New Roman" w:hAnsi="Times New Roman" w:cs="Times New Roman"/>
                <w:iCs/>
                <w:sz w:val="20"/>
                <w:szCs w:val="20"/>
              </w:rPr>
            </w:pPr>
          </w:p>
        </w:tc>
      </w:tr>
      <w:tr w:rsidR="00252DA0" w:rsidRPr="009850F9" w:rsidTr="009850F9">
        <w:tc>
          <w:tcPr>
            <w:tcW w:w="14992" w:type="dxa"/>
            <w:gridSpan w:val="5"/>
            <w:shd w:val="clear" w:color="auto" w:fill="D9D9D9" w:themeFill="background1" w:themeFillShade="D9"/>
          </w:tcPr>
          <w:p w:rsidR="00252DA0" w:rsidRPr="009850F9" w:rsidRDefault="002D1346">
            <w:pPr>
              <w:spacing w:before="0" w:after="0"/>
              <w:jc w:val="center"/>
              <w:rPr>
                <w:rFonts w:ascii="Times New Roman" w:eastAsia="Calibri" w:hAnsi="Times New Roman" w:cs="Times New Roman"/>
                <w:b/>
                <w:iCs/>
                <w:sz w:val="24"/>
                <w:szCs w:val="24"/>
                <w:lang w:eastAsia="en-US"/>
              </w:rPr>
            </w:pPr>
            <w:r w:rsidRPr="009850F9">
              <w:rPr>
                <w:rFonts w:ascii="Times New Roman" w:eastAsia="Calibri" w:hAnsi="Times New Roman" w:cs="Times New Roman"/>
                <w:b/>
                <w:iCs/>
                <w:sz w:val="24"/>
                <w:szCs w:val="24"/>
                <w:lang w:eastAsia="en-US"/>
              </w:rPr>
              <w:t>Results/</w:t>
            </w:r>
            <w:r w:rsidR="005E4C45" w:rsidRPr="009850F9">
              <w:rPr>
                <w:rFonts w:ascii="Times New Roman" w:eastAsia="Calibri" w:hAnsi="Times New Roman" w:cs="Times New Roman"/>
                <w:b/>
                <w:iCs/>
                <w:sz w:val="24"/>
                <w:szCs w:val="24"/>
                <w:lang w:eastAsia="en-US"/>
              </w:rPr>
              <w:t>Output indicators</w:t>
            </w:r>
          </w:p>
        </w:tc>
      </w:tr>
      <w:tr w:rsidR="00252DA0" w:rsidTr="00710AA1">
        <w:tc>
          <w:tcPr>
            <w:tcW w:w="3936"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Extent to which the overall structure of ministries and other bodies subordinated to central government is rational and coherent.(SIGMA score)</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2 (2014)</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4 (2020)</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4</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SIGMA Baseline measurement reports/Assessment reports</w:t>
            </w:r>
          </w:p>
        </w:tc>
      </w:tr>
      <w:tr w:rsidR="00252DA0" w:rsidTr="00710AA1">
        <w:trPr>
          <w:trHeight w:val="64"/>
        </w:trPr>
        <w:tc>
          <w:tcPr>
            <w:tcW w:w="3936"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No of institutions having and applying an integrity policy</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 (2016)</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50 (2020)</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75</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State Commission for Prevention of Corruption Reports</w:t>
            </w:r>
          </w:p>
        </w:tc>
      </w:tr>
      <w:tr w:rsidR="00252DA0" w:rsidTr="00710AA1">
        <w:trPr>
          <w:trHeight w:val="66"/>
        </w:trPr>
        <w:tc>
          <w:tcPr>
            <w:tcW w:w="3936"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Percentage of institutions applying </w:t>
            </w:r>
            <w:r w:rsidR="00334EDC" w:rsidRPr="0092695A">
              <w:rPr>
                <w:rFonts w:ascii="Times New Roman" w:hAnsi="Times New Roman" w:cs="Times New Roman"/>
                <w:sz w:val="20"/>
                <w:szCs w:val="20"/>
              </w:rPr>
              <w:t xml:space="preserve">pro-active </w:t>
            </w:r>
            <w:r w:rsidRPr="0092695A">
              <w:rPr>
                <w:rFonts w:ascii="Times New Roman" w:hAnsi="Times New Roman" w:cs="Times New Roman"/>
                <w:sz w:val="20"/>
                <w:szCs w:val="20"/>
              </w:rPr>
              <w:t>transparency standards</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0</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50%</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 xml:space="preserve">100% </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Commission for rights to free access to public information</w:t>
            </w:r>
          </w:p>
        </w:tc>
      </w:tr>
      <w:tr w:rsidR="00252DA0" w:rsidTr="00710AA1">
        <w:trPr>
          <w:trHeight w:val="64"/>
        </w:trPr>
        <w:tc>
          <w:tcPr>
            <w:tcW w:w="3936" w:type="dxa"/>
            <w:shd w:val="clear" w:color="auto" w:fill="auto"/>
          </w:tcPr>
          <w:p w:rsidR="00252DA0" w:rsidRPr="0092695A" w:rsidRDefault="005E4C45" w:rsidP="00334EDC">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 xml:space="preserve">No of whistleblowing cases </w:t>
            </w:r>
            <w:r w:rsidR="00334EDC" w:rsidRPr="0092695A">
              <w:rPr>
                <w:rFonts w:ascii="Times New Roman" w:hAnsi="Times New Roman" w:cs="Times New Roman"/>
                <w:sz w:val="20"/>
                <w:szCs w:val="20"/>
              </w:rPr>
              <w:t xml:space="preserve">launched </w:t>
            </w:r>
            <w:r w:rsidRPr="0092695A">
              <w:rPr>
                <w:rFonts w:ascii="Times New Roman" w:hAnsi="Times New Roman" w:cs="Times New Roman"/>
                <w:sz w:val="20"/>
                <w:szCs w:val="20"/>
              </w:rPr>
              <w:t xml:space="preserve">and </w:t>
            </w:r>
            <w:r w:rsidR="00334EDC" w:rsidRPr="0092695A">
              <w:rPr>
                <w:rFonts w:ascii="Times New Roman" w:hAnsi="Times New Roman" w:cs="Times New Roman"/>
                <w:sz w:val="20"/>
                <w:szCs w:val="20"/>
              </w:rPr>
              <w:t xml:space="preserve">protection </w:t>
            </w:r>
            <w:r w:rsidRPr="0092695A">
              <w:rPr>
                <w:rFonts w:ascii="Times New Roman" w:hAnsi="Times New Roman" w:cs="Times New Roman"/>
                <w:sz w:val="20"/>
                <w:szCs w:val="20"/>
              </w:rPr>
              <w:t>measures taken</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0 (2015)</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15</w:t>
            </w:r>
          </w:p>
        </w:tc>
        <w:tc>
          <w:tcPr>
            <w:tcW w:w="2567"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30</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State Commission for Prevention of Corruption Reports</w:t>
            </w:r>
          </w:p>
        </w:tc>
      </w:tr>
      <w:tr w:rsidR="00252DA0" w:rsidTr="00710AA1">
        <w:trPr>
          <w:trHeight w:val="64"/>
        </w:trPr>
        <w:tc>
          <w:tcPr>
            <w:tcW w:w="3936" w:type="dxa"/>
            <w:shd w:val="clear" w:color="auto" w:fill="auto"/>
          </w:tcPr>
          <w:p w:rsidR="00252DA0" w:rsidRPr="0092695A" w:rsidRDefault="005E4C45">
            <w:pPr>
              <w:spacing w:before="0" w:after="0"/>
              <w:jc w:val="left"/>
              <w:rPr>
                <w:rFonts w:ascii="Times New Roman" w:hAnsi="Times New Roman" w:cs="Times New Roman"/>
                <w:i/>
                <w:sz w:val="20"/>
                <w:szCs w:val="20"/>
                <w:highlight w:val="yellow"/>
              </w:rPr>
            </w:pPr>
            <w:r w:rsidRPr="0092695A">
              <w:rPr>
                <w:rFonts w:ascii="Times New Roman" w:hAnsi="Times New Roman" w:cs="Times New Roman"/>
                <w:sz w:val="20"/>
                <w:szCs w:val="20"/>
              </w:rPr>
              <w:t>Requests for information refused/unanswered in breach of law (as a % of the total</w:t>
            </w:r>
            <w:r w:rsidR="00334EDC" w:rsidRPr="0092695A">
              <w:rPr>
                <w:rFonts w:ascii="Times New Roman" w:hAnsi="Times New Roman" w:cs="Times New Roman"/>
                <w:sz w:val="20"/>
                <w:szCs w:val="20"/>
              </w:rPr>
              <w:t xml:space="preserve"> number of requests</w:t>
            </w:r>
            <w:r w:rsidRPr="0092695A">
              <w:rPr>
                <w:rFonts w:ascii="Times New Roman" w:hAnsi="Times New Roman" w:cs="Times New Roman"/>
                <w:sz w:val="20"/>
                <w:szCs w:val="20"/>
              </w:rPr>
              <w:t>)</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(figure still to be provided) / 650</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Less than 10%</w:t>
            </w:r>
          </w:p>
        </w:tc>
        <w:tc>
          <w:tcPr>
            <w:tcW w:w="2567"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Less than 10%</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Commission for rights to free access to public information</w:t>
            </w:r>
          </w:p>
        </w:tc>
      </w:tr>
      <w:tr w:rsidR="00252DA0" w:rsidTr="00710AA1">
        <w:trPr>
          <w:trHeight w:val="56"/>
        </w:trPr>
        <w:tc>
          <w:tcPr>
            <w:tcW w:w="3936" w:type="dxa"/>
            <w:shd w:val="clear" w:color="auto" w:fill="auto"/>
          </w:tcPr>
          <w:p w:rsidR="00252DA0" w:rsidRPr="0092695A" w:rsidRDefault="005E4C45">
            <w:pPr>
              <w:pStyle w:val="Quote"/>
              <w:spacing w:after="0"/>
              <w:ind w:right="0"/>
              <w:rPr>
                <w:szCs w:val="20"/>
              </w:rPr>
            </w:pPr>
            <w:r w:rsidRPr="0092695A">
              <w:rPr>
                <w:szCs w:val="20"/>
              </w:rPr>
              <w:t>Number of services accessible and available by Single point of contact (OSS or e-services portal)</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N/A</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100</w:t>
            </w:r>
          </w:p>
        </w:tc>
        <w:tc>
          <w:tcPr>
            <w:tcW w:w="2567"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100</w:t>
            </w:r>
          </w:p>
        </w:tc>
        <w:tc>
          <w:tcPr>
            <w:tcW w:w="3685" w:type="dxa"/>
            <w:shd w:val="clear" w:color="auto" w:fill="auto"/>
          </w:tcPr>
          <w:p w:rsidR="00252DA0" w:rsidRPr="0092695A" w:rsidRDefault="005E4C45">
            <w:pPr>
              <w:spacing w:before="0" w:after="0"/>
              <w:rPr>
                <w:rFonts w:ascii="Times New Roman" w:hAnsi="Times New Roman" w:cs="Times New Roman"/>
                <w:sz w:val="20"/>
                <w:szCs w:val="20"/>
              </w:rPr>
            </w:pPr>
            <w:r w:rsidRPr="0092695A">
              <w:rPr>
                <w:rFonts w:ascii="Times New Roman" w:hAnsi="Times New Roman" w:cs="Times New Roman"/>
                <w:sz w:val="20"/>
                <w:szCs w:val="20"/>
              </w:rPr>
              <w:t>MISA - Annual reports</w:t>
            </w:r>
          </w:p>
        </w:tc>
      </w:tr>
      <w:tr w:rsidR="00252DA0" w:rsidTr="00710AA1">
        <w:tc>
          <w:tcPr>
            <w:tcW w:w="3936"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left"/>
              <w:rPr>
                <w:rFonts w:ascii="Times New Roman" w:eastAsia="BatangChe" w:hAnsi="Times New Roman" w:cs="Times New Roman"/>
                <w:sz w:val="20"/>
                <w:szCs w:val="20"/>
                <w:highlight w:val="yellow"/>
              </w:rPr>
            </w:pPr>
            <w:r w:rsidRPr="0092695A">
              <w:rPr>
                <w:rFonts w:ascii="Times New Roman" w:hAnsi="Times New Roman" w:cs="Times New Roman"/>
                <w:sz w:val="20"/>
                <w:szCs w:val="20"/>
              </w:rPr>
              <w:t>Percentage of users vs target users’ ratio of e-services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n/a</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15%</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rPr>
                <w:rFonts w:ascii="Times New Roman" w:hAnsi="Times New Roman" w:cs="Times New Roman"/>
                <w:sz w:val="20"/>
                <w:szCs w:val="20"/>
              </w:rPr>
            </w:pPr>
            <w:r w:rsidRPr="0092695A">
              <w:rPr>
                <w:rFonts w:ascii="Times New Roman" w:hAnsi="Times New Roman" w:cs="Times New Roman"/>
                <w:sz w:val="20"/>
                <w:szCs w:val="20"/>
              </w:rPr>
              <w:t>MISA</w:t>
            </w:r>
          </w:p>
        </w:tc>
      </w:tr>
      <w:tr w:rsidR="00252DA0" w:rsidTr="00710AA1">
        <w:tc>
          <w:tcPr>
            <w:tcW w:w="3936"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left"/>
              <w:rPr>
                <w:rFonts w:ascii="Times New Roman" w:hAnsi="Times New Roman" w:cs="Times New Roman"/>
                <w:bCs/>
                <w:iCs/>
                <w:sz w:val="20"/>
                <w:szCs w:val="20"/>
                <w:highlight w:val="yellow"/>
              </w:rPr>
            </w:pPr>
            <w:r w:rsidRPr="0092695A">
              <w:rPr>
                <w:rFonts w:ascii="Times New Roman" w:hAnsi="Times New Roman" w:cs="Times New Roman"/>
                <w:sz w:val="20"/>
                <w:szCs w:val="20"/>
              </w:rPr>
              <w:t>Pilot statistics on the performance by body and public officers involved in service delivery (coverage by institution and by No of servants)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n/a</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15 institutions</w:t>
            </w:r>
          </w:p>
          <w:p w:rsidR="00252DA0" w:rsidRPr="0092695A" w:rsidRDefault="005E4C45">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50 public servants</w:t>
            </w:r>
          </w:p>
        </w:tc>
        <w:tc>
          <w:tcPr>
            <w:tcW w:w="2567"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04580A">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20 institutions</w:t>
            </w:r>
          </w:p>
          <w:p w:rsidR="0004580A" w:rsidRPr="0092695A" w:rsidRDefault="0004580A">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100 servants</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52DA0" w:rsidRPr="0092695A" w:rsidRDefault="005E4C45">
            <w:pPr>
              <w:spacing w:before="0" w:after="0"/>
              <w:rPr>
                <w:rFonts w:ascii="Times New Roman" w:hAnsi="Times New Roman" w:cs="Times New Roman"/>
                <w:sz w:val="20"/>
                <w:szCs w:val="20"/>
              </w:rPr>
            </w:pPr>
            <w:r w:rsidRPr="0092695A">
              <w:rPr>
                <w:rFonts w:ascii="Times New Roman" w:hAnsi="Times New Roman" w:cs="Times New Roman"/>
                <w:sz w:val="20"/>
                <w:szCs w:val="20"/>
              </w:rPr>
              <w:t>MISA</w:t>
            </w:r>
          </w:p>
        </w:tc>
      </w:tr>
      <w:tr w:rsidR="00252DA0" w:rsidTr="00710AA1">
        <w:trPr>
          <w:trHeight w:val="56"/>
        </w:trPr>
        <w:tc>
          <w:tcPr>
            <w:tcW w:w="3936" w:type="dxa"/>
            <w:shd w:val="clear" w:color="auto" w:fill="auto"/>
          </w:tcPr>
          <w:p w:rsidR="00252DA0" w:rsidRPr="0092695A" w:rsidRDefault="005E4C45">
            <w:pPr>
              <w:pStyle w:val="Quote"/>
              <w:spacing w:after="0"/>
              <w:ind w:right="0"/>
              <w:rPr>
                <w:szCs w:val="20"/>
              </w:rPr>
            </w:pPr>
            <w:r w:rsidRPr="0092695A">
              <w:rPr>
                <w:szCs w:val="20"/>
              </w:rPr>
              <w:t>Coverage of OSS umbrella system (% of relevant institutions covered)</w:t>
            </w:r>
          </w:p>
        </w:tc>
        <w:tc>
          <w:tcPr>
            <w:tcW w:w="2340" w:type="dxa"/>
            <w:shd w:val="clear" w:color="auto" w:fill="auto"/>
          </w:tcPr>
          <w:p w:rsidR="00252DA0" w:rsidRPr="0092695A" w:rsidRDefault="005E4C45">
            <w:pPr>
              <w:spacing w:before="0" w:after="0"/>
              <w:jc w:val="center"/>
              <w:rPr>
                <w:rFonts w:ascii="Times New Roman" w:eastAsia="Calibri" w:hAnsi="Times New Roman" w:cs="Times New Roman"/>
                <w:iCs/>
                <w:sz w:val="20"/>
                <w:szCs w:val="20"/>
              </w:rPr>
            </w:pPr>
            <w:r w:rsidRPr="0092695A">
              <w:rPr>
                <w:rFonts w:ascii="Times New Roman" w:eastAsia="Calibri" w:hAnsi="Times New Roman" w:cs="Times New Roman"/>
                <w:iCs/>
                <w:sz w:val="20"/>
                <w:szCs w:val="20"/>
              </w:rPr>
              <w:t>5 (2016)</w:t>
            </w:r>
          </w:p>
        </w:tc>
        <w:tc>
          <w:tcPr>
            <w:tcW w:w="2464" w:type="dxa"/>
            <w:shd w:val="clear" w:color="auto" w:fill="auto"/>
          </w:tcPr>
          <w:p w:rsidR="00252DA0" w:rsidRPr="0092695A" w:rsidRDefault="005E4C45">
            <w:pPr>
              <w:spacing w:before="0" w:after="0"/>
              <w:jc w:val="center"/>
              <w:rPr>
                <w:rFonts w:ascii="Times New Roman" w:eastAsia="Calibri" w:hAnsi="Times New Roman" w:cs="Times New Roman"/>
                <w:iCs/>
                <w:sz w:val="20"/>
                <w:szCs w:val="20"/>
              </w:rPr>
            </w:pPr>
            <w:r w:rsidRPr="0092695A">
              <w:rPr>
                <w:rFonts w:ascii="Times New Roman" w:eastAsia="Calibri" w:hAnsi="Times New Roman" w:cs="Times New Roman"/>
                <w:iCs/>
                <w:sz w:val="20"/>
                <w:szCs w:val="20"/>
              </w:rPr>
              <w:t>80%</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rPr>
            </w:pPr>
            <w:r w:rsidRPr="0092695A">
              <w:rPr>
                <w:rFonts w:ascii="Times New Roman" w:hAnsi="Times New Roman" w:cs="Times New Roman"/>
                <w:sz w:val="20"/>
                <w:szCs w:val="20"/>
              </w:rPr>
              <w:t>100%</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OSS e-circuit reports/ MoUs</w:t>
            </w:r>
          </w:p>
        </w:tc>
      </w:tr>
      <w:tr w:rsidR="00252DA0" w:rsidTr="00710AA1">
        <w:trPr>
          <w:trHeight w:val="56"/>
        </w:trPr>
        <w:tc>
          <w:tcPr>
            <w:tcW w:w="3936" w:type="dxa"/>
            <w:shd w:val="clear" w:color="auto" w:fill="auto"/>
          </w:tcPr>
          <w:p w:rsidR="00252DA0" w:rsidRPr="0092695A" w:rsidRDefault="005E4C45">
            <w:pPr>
              <w:pStyle w:val="Quote"/>
              <w:spacing w:after="0"/>
              <w:ind w:right="0"/>
              <w:rPr>
                <w:szCs w:val="20"/>
              </w:rPr>
            </w:pPr>
            <w:r w:rsidRPr="0092695A">
              <w:rPr>
                <w:szCs w:val="20"/>
              </w:rPr>
              <w:t>Percentage of indicators produced for GDP on quarterly level by expenditure approach at current and constant prices</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rPr>
              <w:t>75% available indicators, 10 days time lag, missing data series 1995 - 1999</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eastAsia="Calibri" w:hAnsi="Times New Roman" w:cs="Times New Roman"/>
                <w:iCs/>
                <w:sz w:val="20"/>
                <w:szCs w:val="20"/>
              </w:rPr>
              <w:t>90% available indicators, no time lag, data series 1995-1999 available</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highlight w:val="yellow"/>
              </w:rPr>
            </w:pPr>
            <w:r w:rsidRPr="0092695A">
              <w:rPr>
                <w:rFonts w:ascii="Times New Roman" w:hAnsi="Times New Roman" w:cs="Times New Roman"/>
                <w:sz w:val="20"/>
                <w:szCs w:val="20"/>
              </w:rPr>
              <w:t>95% available indicators</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hAnsi="Times New Roman" w:cs="Times New Roman"/>
                <w:sz w:val="20"/>
                <w:szCs w:val="20"/>
              </w:rPr>
              <w:t>EDAMIS reports</w:t>
            </w:r>
            <w:r w:rsidRPr="0092695A">
              <w:rPr>
                <w:rFonts w:ascii="Times New Roman" w:hAnsi="Times New Roman" w:cs="Times New Roman"/>
                <w:sz w:val="20"/>
                <w:szCs w:val="20"/>
              </w:rPr>
              <w:br/>
              <w:t>SMIS+ reports</w:t>
            </w:r>
          </w:p>
          <w:p w:rsidR="00252DA0" w:rsidRPr="0092695A" w:rsidRDefault="005E4C45" w:rsidP="007E2DA9">
            <w:pPr>
              <w:spacing w:before="0" w:after="0"/>
              <w:rPr>
                <w:rFonts w:ascii="Times New Roman" w:hAnsi="Times New Roman" w:cs="Times New Roman"/>
                <w:sz w:val="20"/>
                <w:szCs w:val="20"/>
              </w:rPr>
            </w:pPr>
            <w:r w:rsidRPr="0092695A">
              <w:rPr>
                <w:rFonts w:ascii="Times New Roman" w:hAnsi="Times New Roman" w:cs="Times New Roman"/>
                <w:sz w:val="20"/>
                <w:szCs w:val="20"/>
              </w:rPr>
              <w:t xml:space="preserve">EC Progress report for the chapter 18 </w:t>
            </w:r>
            <w:r w:rsidRPr="0092695A">
              <w:rPr>
                <w:rFonts w:ascii="Times New Roman" w:hAnsi="Times New Roman" w:cs="Times New Roman"/>
                <w:sz w:val="20"/>
                <w:szCs w:val="20"/>
              </w:rPr>
              <w:br/>
              <w:t>SSO web site</w:t>
            </w:r>
          </w:p>
        </w:tc>
      </w:tr>
      <w:tr w:rsidR="00252DA0" w:rsidTr="00710AA1">
        <w:tc>
          <w:tcPr>
            <w:tcW w:w="3936" w:type="dxa"/>
            <w:shd w:val="clear" w:color="auto" w:fill="auto"/>
          </w:tcPr>
          <w:p w:rsidR="00252DA0" w:rsidRPr="0092695A" w:rsidRDefault="005E4C45">
            <w:pPr>
              <w:pStyle w:val="Quote"/>
              <w:spacing w:after="0"/>
              <w:ind w:right="0"/>
              <w:rPr>
                <w:szCs w:val="20"/>
              </w:rPr>
            </w:pPr>
            <w:r w:rsidRPr="0092695A">
              <w:rPr>
                <w:szCs w:val="20"/>
              </w:rPr>
              <w:t>Percentage of indicators compiled for EDP notification tables in accordance with ESA 2010</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lang w:eastAsia="en-US"/>
              </w:rPr>
              <w:t>5 %</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rPr>
            </w:pPr>
            <w:r w:rsidRPr="0092695A">
              <w:rPr>
                <w:rFonts w:ascii="Times New Roman" w:hAnsi="Times New Roman" w:cs="Times New Roman"/>
                <w:sz w:val="20"/>
                <w:szCs w:val="20"/>
                <w:lang w:eastAsia="en-US"/>
              </w:rPr>
              <w:t>80%</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sz w:val="20"/>
                <w:szCs w:val="20"/>
              </w:rPr>
            </w:pPr>
            <w:r w:rsidRPr="0092695A">
              <w:rPr>
                <w:rFonts w:ascii="Times New Roman" w:hAnsi="Times New Roman" w:cs="Times New Roman"/>
                <w:iCs/>
                <w:sz w:val="20"/>
                <w:szCs w:val="20"/>
              </w:rPr>
              <w:t xml:space="preserve">95 % </w:t>
            </w:r>
          </w:p>
        </w:tc>
        <w:tc>
          <w:tcPr>
            <w:tcW w:w="3685" w:type="dxa"/>
            <w:shd w:val="clear" w:color="auto" w:fill="auto"/>
          </w:tcPr>
          <w:p w:rsidR="00252DA0" w:rsidRPr="0092695A" w:rsidRDefault="005E4C45">
            <w:pPr>
              <w:spacing w:before="0" w:after="0"/>
              <w:jc w:val="left"/>
              <w:rPr>
                <w:rFonts w:ascii="Times New Roman" w:hAnsi="Times New Roman" w:cs="Times New Roman"/>
                <w:sz w:val="20"/>
                <w:szCs w:val="20"/>
              </w:rPr>
            </w:pPr>
            <w:r w:rsidRPr="0092695A">
              <w:rPr>
                <w:rFonts w:ascii="Times New Roman" w:eastAsia="Calibri" w:hAnsi="Times New Roman" w:cs="Times New Roman"/>
                <w:iCs/>
                <w:sz w:val="20"/>
                <w:szCs w:val="20"/>
                <w:lang w:eastAsia="en-US"/>
              </w:rPr>
              <w:t xml:space="preserve">Regular OSS system performance monitoring reports </w:t>
            </w:r>
            <w:r w:rsidRPr="0092695A">
              <w:rPr>
                <w:rFonts w:ascii="Times New Roman" w:eastAsia="Calibri" w:hAnsi="Times New Roman" w:cs="Times New Roman"/>
                <w:iCs/>
                <w:sz w:val="20"/>
                <w:szCs w:val="20"/>
                <w:lang w:eastAsia="en-US"/>
              </w:rPr>
              <w:br/>
              <w:t>Changes of laws and/or by-laws (Official Gazette)</w:t>
            </w:r>
          </w:p>
        </w:tc>
      </w:tr>
      <w:tr w:rsidR="00252DA0" w:rsidTr="00710AA1">
        <w:tc>
          <w:tcPr>
            <w:tcW w:w="3936" w:type="dxa"/>
            <w:shd w:val="clear" w:color="auto" w:fill="auto"/>
          </w:tcPr>
          <w:p w:rsidR="00252DA0" w:rsidRPr="0092695A" w:rsidRDefault="005E4C45">
            <w:pPr>
              <w:pStyle w:val="Quote"/>
              <w:spacing w:after="0"/>
              <w:ind w:right="0"/>
              <w:rPr>
                <w:szCs w:val="20"/>
              </w:rPr>
            </w:pPr>
            <w:r w:rsidRPr="0092695A">
              <w:rPr>
                <w:szCs w:val="20"/>
              </w:rPr>
              <w:t>Number of improved/</w:t>
            </w:r>
            <w:r w:rsidR="007676A3" w:rsidRPr="0092695A">
              <w:rPr>
                <w:szCs w:val="20"/>
              </w:rPr>
              <w:t>aligned</w:t>
            </w:r>
            <w:r w:rsidRPr="0092695A">
              <w:rPr>
                <w:szCs w:val="20"/>
              </w:rPr>
              <w:t xml:space="preserve"> statistical methodologies and surveys</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lang w:eastAsia="en-US"/>
              </w:rPr>
            </w:pPr>
            <w:r w:rsidRPr="0092695A">
              <w:rPr>
                <w:rFonts w:ascii="Times New Roman" w:hAnsi="Times New Roman" w:cs="Times New Roman"/>
                <w:sz w:val="20"/>
                <w:szCs w:val="20"/>
                <w:lang w:eastAsia="en-US"/>
              </w:rPr>
              <w:t>n/a</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lang w:eastAsia="en-US"/>
              </w:rPr>
            </w:pPr>
            <w:r w:rsidRPr="0092695A">
              <w:rPr>
                <w:rFonts w:ascii="Times New Roman" w:hAnsi="Times New Roman" w:cs="Times New Roman"/>
                <w:sz w:val="20"/>
                <w:szCs w:val="20"/>
                <w:lang w:eastAsia="en-US"/>
              </w:rPr>
              <w:t>3 (2020)</w:t>
            </w:r>
          </w:p>
        </w:tc>
        <w:tc>
          <w:tcPr>
            <w:tcW w:w="2567" w:type="dxa"/>
            <w:shd w:val="clear" w:color="auto" w:fill="auto"/>
          </w:tcPr>
          <w:p w:rsidR="00252DA0" w:rsidRPr="0092695A" w:rsidRDefault="005E4C45" w:rsidP="004E1C8C">
            <w:pPr>
              <w:spacing w:before="0" w:after="0"/>
              <w:jc w:val="center"/>
              <w:rPr>
                <w:rFonts w:ascii="Times New Roman" w:hAnsi="Times New Roman" w:cs="Times New Roman"/>
                <w:iCs/>
                <w:sz w:val="20"/>
                <w:szCs w:val="20"/>
              </w:rPr>
            </w:pPr>
            <w:r w:rsidRPr="0092695A">
              <w:rPr>
                <w:rFonts w:ascii="Times New Roman" w:hAnsi="Times New Roman" w:cs="Times New Roman"/>
                <w:iCs/>
                <w:sz w:val="20"/>
                <w:szCs w:val="20"/>
              </w:rPr>
              <w:t>5</w:t>
            </w:r>
          </w:p>
        </w:tc>
        <w:tc>
          <w:tcPr>
            <w:tcW w:w="3685" w:type="dxa"/>
            <w:shd w:val="clear" w:color="auto" w:fill="auto"/>
          </w:tcPr>
          <w:p w:rsidR="00252DA0" w:rsidRPr="0092695A" w:rsidRDefault="005E4C45">
            <w:pPr>
              <w:spacing w:before="0" w:after="0"/>
              <w:jc w:val="left"/>
              <w:rPr>
                <w:rFonts w:ascii="Times New Roman" w:eastAsia="Calibri" w:hAnsi="Times New Roman" w:cs="Times New Roman"/>
                <w:iCs/>
                <w:sz w:val="20"/>
                <w:szCs w:val="20"/>
                <w:lang w:eastAsia="en-US"/>
              </w:rPr>
            </w:pPr>
            <w:r w:rsidRPr="0092695A">
              <w:rPr>
                <w:rFonts w:ascii="Times New Roman" w:eastAsia="Calibri" w:hAnsi="Times New Roman" w:cs="Times New Roman"/>
                <w:iCs/>
                <w:sz w:val="20"/>
                <w:szCs w:val="20"/>
                <w:lang w:eastAsia="en-US"/>
              </w:rPr>
              <w:t>Eurostat/SSO Reports</w:t>
            </w:r>
          </w:p>
        </w:tc>
      </w:tr>
      <w:tr w:rsidR="00252DA0" w:rsidTr="00710AA1">
        <w:tc>
          <w:tcPr>
            <w:tcW w:w="3936" w:type="dxa"/>
            <w:shd w:val="clear" w:color="auto" w:fill="auto"/>
          </w:tcPr>
          <w:p w:rsidR="00252DA0" w:rsidRPr="0092695A" w:rsidRDefault="005E4C45">
            <w:pPr>
              <w:pStyle w:val="Quote"/>
              <w:spacing w:after="0"/>
              <w:ind w:right="0"/>
              <w:rPr>
                <w:szCs w:val="20"/>
              </w:rPr>
            </w:pPr>
            <w:r w:rsidRPr="0092695A">
              <w:rPr>
                <w:szCs w:val="20"/>
              </w:rPr>
              <w:t>Percentage of SBPM sub-processes covered by standard metadata driven tools</w:t>
            </w:r>
          </w:p>
        </w:tc>
        <w:tc>
          <w:tcPr>
            <w:tcW w:w="2340" w:type="dxa"/>
            <w:shd w:val="clear" w:color="auto" w:fill="auto"/>
          </w:tcPr>
          <w:p w:rsidR="00252DA0" w:rsidRPr="0092695A" w:rsidRDefault="005E4C45">
            <w:pPr>
              <w:spacing w:before="0" w:after="0"/>
              <w:jc w:val="center"/>
              <w:rPr>
                <w:rFonts w:ascii="Times New Roman" w:hAnsi="Times New Roman" w:cs="Times New Roman"/>
                <w:sz w:val="20"/>
                <w:szCs w:val="20"/>
                <w:lang w:eastAsia="en-US"/>
              </w:rPr>
            </w:pPr>
            <w:r w:rsidRPr="0092695A">
              <w:rPr>
                <w:rFonts w:ascii="Times New Roman" w:hAnsi="Times New Roman" w:cs="Times New Roman"/>
                <w:sz w:val="20"/>
                <w:szCs w:val="20"/>
                <w:lang w:eastAsia="en-US"/>
              </w:rPr>
              <w:t>0</w:t>
            </w:r>
          </w:p>
        </w:tc>
        <w:tc>
          <w:tcPr>
            <w:tcW w:w="2464" w:type="dxa"/>
            <w:shd w:val="clear" w:color="auto" w:fill="auto"/>
          </w:tcPr>
          <w:p w:rsidR="00252DA0" w:rsidRPr="0092695A" w:rsidRDefault="005E4C45">
            <w:pPr>
              <w:spacing w:before="0" w:after="0"/>
              <w:jc w:val="center"/>
              <w:rPr>
                <w:rFonts w:ascii="Times New Roman" w:hAnsi="Times New Roman" w:cs="Times New Roman"/>
                <w:sz w:val="20"/>
                <w:szCs w:val="20"/>
                <w:lang w:eastAsia="en-US"/>
              </w:rPr>
            </w:pPr>
            <w:r w:rsidRPr="0092695A">
              <w:rPr>
                <w:rFonts w:ascii="Times New Roman" w:hAnsi="Times New Roman" w:cs="Times New Roman"/>
                <w:sz w:val="20"/>
                <w:szCs w:val="20"/>
                <w:lang w:eastAsia="en-US"/>
              </w:rPr>
              <w:t>At least 25%</w:t>
            </w:r>
          </w:p>
        </w:tc>
        <w:tc>
          <w:tcPr>
            <w:tcW w:w="2567" w:type="dxa"/>
            <w:shd w:val="clear" w:color="auto" w:fill="auto"/>
          </w:tcPr>
          <w:p w:rsidR="00252DA0" w:rsidRPr="0092695A" w:rsidRDefault="005E4C45">
            <w:pPr>
              <w:spacing w:before="0" w:after="0"/>
              <w:jc w:val="center"/>
              <w:rPr>
                <w:rFonts w:ascii="Times New Roman" w:hAnsi="Times New Roman" w:cs="Times New Roman"/>
                <w:iCs/>
                <w:sz w:val="20"/>
                <w:szCs w:val="20"/>
              </w:rPr>
            </w:pPr>
            <w:r w:rsidRPr="0092695A">
              <w:rPr>
                <w:rFonts w:ascii="Times New Roman" w:hAnsi="Times New Roman" w:cs="Times New Roman"/>
                <w:iCs/>
                <w:sz w:val="20"/>
                <w:szCs w:val="20"/>
              </w:rPr>
              <w:t>At least 30%</w:t>
            </w:r>
          </w:p>
        </w:tc>
        <w:tc>
          <w:tcPr>
            <w:tcW w:w="3685" w:type="dxa"/>
            <w:shd w:val="clear" w:color="auto" w:fill="auto"/>
          </w:tcPr>
          <w:p w:rsidR="00252DA0" w:rsidRPr="0092695A" w:rsidRDefault="005E4C45">
            <w:pPr>
              <w:spacing w:before="0" w:after="0"/>
              <w:jc w:val="left"/>
              <w:rPr>
                <w:rFonts w:ascii="Times New Roman" w:eastAsia="Calibri" w:hAnsi="Times New Roman" w:cs="Times New Roman"/>
                <w:iCs/>
                <w:sz w:val="20"/>
                <w:szCs w:val="20"/>
                <w:lang w:eastAsia="en-US"/>
              </w:rPr>
            </w:pPr>
            <w:r w:rsidRPr="0092695A">
              <w:rPr>
                <w:rFonts w:ascii="Times New Roman" w:eastAsia="Calibri" w:hAnsi="Times New Roman" w:cs="Times New Roman"/>
                <w:iCs/>
                <w:sz w:val="20"/>
                <w:szCs w:val="20"/>
                <w:lang w:eastAsia="en-US"/>
              </w:rPr>
              <w:t>SSO website/ SSO Reports</w:t>
            </w:r>
          </w:p>
        </w:tc>
      </w:tr>
    </w:tbl>
    <w:p w:rsidR="00252DA0" w:rsidRDefault="00252DA0">
      <w:pPr>
        <w:spacing w:before="0" w:after="0"/>
        <w:rPr>
          <w:rFonts w:ascii="Times New Roman" w:hAnsi="Times New Roman" w:cs="Times New Roman"/>
        </w:rPr>
        <w:sectPr w:rsidR="00252DA0" w:rsidSect="00AC2900">
          <w:footnotePr>
            <w:numRestart w:val="eachSect"/>
          </w:footnotePr>
          <w:pgSz w:w="16838" w:h="11906" w:orient="landscape"/>
          <w:pgMar w:top="1418" w:right="851" w:bottom="1276" w:left="1440" w:header="720" w:footer="0" w:gutter="0"/>
          <w:cols w:space="720"/>
          <w:docGrid w:linePitch="299"/>
        </w:sectPr>
      </w:pPr>
    </w:p>
    <w:p w:rsidR="00252DA0" w:rsidRPr="00857187" w:rsidRDefault="005E4C45">
      <w:pPr>
        <w:pStyle w:val="Heading1"/>
      </w:pPr>
      <w:r w:rsidRPr="00857187">
        <w:t>5. Sector Approach assessment</w:t>
      </w:r>
    </w:p>
    <w:p w:rsidR="00252DA0" w:rsidRDefault="005E4C45">
      <w:pPr>
        <w:pStyle w:val="ActionDocument"/>
      </w:pPr>
      <w:r>
        <w:t xml:space="preserve">A comprehensive sector assessment for the whole PAR has been done detailing each of the assessment criteria envisaged for the adoption of sector approach in pre-accession assistance. As echoed by the last EU </w:t>
      </w:r>
      <w:r w:rsidR="0058453A">
        <w:t xml:space="preserve">Country </w:t>
      </w:r>
      <w:r>
        <w:t xml:space="preserve">Report, the country is moderately prepared with the PAR. While there is some progress in terms of legislation and service delivery to citizens and businesses, a noticeable number of strategies, policy documents and other acts overarching PAR are either expired or not yet adopted. In fact, the MISA in cooperation with </w:t>
      </w:r>
      <w:r w:rsidR="00815155">
        <w:t>OECD/</w:t>
      </w:r>
      <w:r>
        <w:t>SIGMA is currently working on the new Strategy on PAR (2017–2022) which, on the basis of the past experience, should also provide more adequate indicators for performance assessment.</w:t>
      </w:r>
    </w:p>
    <w:p w:rsidR="00252DA0" w:rsidRDefault="005E4C45">
      <w:pPr>
        <w:pStyle w:val="ActionDocument"/>
      </w:pPr>
      <w:r>
        <w:t xml:space="preserve">Having this </w:t>
      </w:r>
      <w:r>
        <w:rPr>
          <w:b/>
          <w:i/>
        </w:rPr>
        <w:t>incomplete strategic framework</w:t>
      </w:r>
      <w:r>
        <w:t xml:space="preserve"> in the background, MISA has a </w:t>
      </w:r>
      <w:r>
        <w:rPr>
          <w:b/>
          <w:i/>
        </w:rPr>
        <w:t>well-defined and functioning coordination structure</w:t>
      </w:r>
      <w:r>
        <w:t xml:space="preserve"> in place for the implementation of future PAR strategy; however, its monitoring capacity to establish a reliable </w:t>
      </w:r>
      <w:r>
        <w:rPr>
          <w:b/>
          <w:i/>
        </w:rPr>
        <w:t>performance assessment framework remains weak</w:t>
      </w:r>
      <w:r>
        <w:t xml:space="preserve">. Another element hindering the maturity of thePAR is that it is not directly budgeted and its actions are not visible in the annual budget, making any estimation of its </w:t>
      </w:r>
      <w:r>
        <w:rPr>
          <w:b/>
          <w:i/>
        </w:rPr>
        <w:t>mid-term expenditure framework hard to be made</w:t>
      </w:r>
      <w:r>
        <w:t>. These elements suggests that although the sector would significantly benefit of IPA II assistance, it won’t be ready to adopt a fully-fledged sector approach at least until the new strategic framework (with related PAF and possibly more elements to estimate budgetary implications of PAR implementation) is finalised and formalised.</w:t>
      </w:r>
    </w:p>
    <w:p w:rsidR="00252DA0" w:rsidRDefault="005E4C45">
      <w:pPr>
        <w:pStyle w:val="ActionDocument"/>
      </w:pPr>
      <w:r>
        <w:t>Indeed, PAR has a particular significance for the European integration process of the country and the necessary development of institutional capacities in adopting required regulations, procedures and standards in line with the EU membership requirements is of paramount importance. It is indeed necessary to establish a system for better manage, coordinate and implement the future PAR Strategy for the period 2017-2022. The functional analysis of the institutional framework</w:t>
      </w:r>
      <w:r>
        <w:rPr>
          <w:rStyle w:val="FootnoteReference"/>
        </w:rPr>
        <w:footnoteReference w:id="12"/>
      </w:r>
      <w:r>
        <w:t xml:space="preserve"> that will take into account duplication of competences fully responds to this need. Similarly, in order to make the system more efficient and further harmonised, as well as more user-oriented, flexible and cost-efficient, it is necessary to introduce changes in the statistical production. This means to rely much more on differentiated data sources, to integrate collection, processing, validation and aggregation of statistics harmonized with EU </w:t>
      </w:r>
      <w:r w:rsidRPr="001C3D6C">
        <w:rPr>
          <w:i/>
        </w:rPr>
        <w:t>acquis</w:t>
      </w:r>
      <w:r>
        <w:t xml:space="preserve"> for the needs of National Accounts</w:t>
      </w:r>
      <w:r>
        <w:rPr>
          <w:rStyle w:val="FootnoteReference"/>
        </w:rPr>
        <w:footnoteReference w:id="13"/>
      </w:r>
      <w:r>
        <w:t>.</w:t>
      </w:r>
    </w:p>
    <w:p w:rsidR="00252DA0" w:rsidRDefault="005E4C45">
      <w:pPr>
        <w:pStyle w:val="ActionDocument"/>
        <w:rPr>
          <w:szCs w:val="24"/>
        </w:rPr>
      </w:pPr>
      <w:r>
        <w:t>Alongside the strengthening of PAR implementation, the further support to the development of a mid-term budget perspective is certainly recommendable, also in order to provide additional support to accountability and good governance in public finance and support enhancing financial management and control.</w:t>
      </w:r>
    </w:p>
    <w:p w:rsidR="00252DA0" w:rsidRPr="00FE258A" w:rsidRDefault="005E4C45">
      <w:pPr>
        <w:pStyle w:val="Heading1"/>
      </w:pPr>
      <w:r w:rsidRPr="00FE258A">
        <w:t xml:space="preserve">6. Cross-cutting issues </w:t>
      </w:r>
    </w:p>
    <w:p w:rsidR="00252DA0" w:rsidRPr="00FE258A" w:rsidRDefault="005E4C45" w:rsidP="0092695A">
      <w:pPr>
        <w:spacing w:before="360"/>
        <w:ind w:right="-170"/>
        <w:rPr>
          <w:rFonts w:ascii="Arial" w:hAnsi="Arial" w:cs="Arial"/>
          <w:b/>
          <w:bCs/>
          <w:smallCaps/>
        </w:rPr>
      </w:pPr>
      <w:r w:rsidRPr="00FE258A">
        <w:rPr>
          <w:rFonts w:ascii="Arial" w:hAnsi="Arial" w:cs="Arial"/>
          <w:b/>
          <w:smallCaps/>
        </w:rPr>
        <w:t>gender mainstreaming and equal opportunities</w:t>
      </w:r>
    </w:p>
    <w:p w:rsidR="00B602F4" w:rsidRDefault="00B602F4" w:rsidP="00B602F4">
      <w:pPr>
        <w:pStyle w:val="ActionDocument"/>
      </w:pPr>
      <w:r>
        <w:t>The country has put in place the legal framework to ensure gender equality through the adoption of the Law on equal opportunities for women and men and the Law on prevention of and protection from discrimination. The current legal framework actually prohibits discrimination on the grounds of gender and sexual orientation and prescribes that equal representation of men and women exists when one sex is represented with at least 40% per cent in bodies at all levels (state, municipal levels other institutions).</w:t>
      </w:r>
    </w:p>
    <w:p w:rsidR="00252DA0" w:rsidRDefault="005E4C45">
      <w:pPr>
        <w:pStyle w:val="ActionDocument"/>
      </w:pPr>
      <w:r>
        <w:t>Official data</w:t>
      </w:r>
      <w:r>
        <w:rPr>
          <w:rStyle w:val="FootnoteReference"/>
        </w:rPr>
        <w:footnoteReference w:id="14"/>
      </w:r>
      <w:r>
        <w:t xml:space="preserve"> show that the </w:t>
      </w:r>
      <w:r w:rsidR="004D07D5">
        <w:t xml:space="preserve">country </w:t>
      </w:r>
      <w:r>
        <w:t>generally respects the principles of gender equality in the public administration seeing women employed in the public sector equalising the 53% of the total. These principles are not fully applied when it comes to some of the minorities though</w:t>
      </w:r>
      <w:r>
        <w:rPr>
          <w:rStyle w:val="FootnoteReference"/>
        </w:rPr>
        <w:footnoteReference w:id="15"/>
      </w:r>
      <w:r>
        <w:t>.However, more extensive researches are needed to reveal if these principles are applied in terms of managerial positions within the ministries and other bodies of the Government.</w:t>
      </w:r>
    </w:p>
    <w:p w:rsidR="00252DA0" w:rsidRDefault="00B602F4" w:rsidP="00A05BBC">
      <w:pPr>
        <w:pStyle w:val="ActionDocument"/>
      </w:pPr>
      <w:r>
        <w:t xml:space="preserve">Despite the generally positive picture, in </w:t>
      </w:r>
      <w:r w:rsidR="005E4C45">
        <w:t xml:space="preserve">implementing the </w:t>
      </w:r>
      <w:r>
        <w:t xml:space="preserve">planned </w:t>
      </w:r>
      <w:r w:rsidR="005E4C45">
        <w:t xml:space="preserve">activities, the </w:t>
      </w:r>
      <w:r>
        <w:t xml:space="preserve">EU support will further seek to </w:t>
      </w:r>
      <w:r w:rsidR="005E4C45">
        <w:t>empower women to exercise their rights</w:t>
      </w:r>
      <w:r w:rsidR="009F5C66">
        <w:t>.</w:t>
      </w:r>
      <w:r w:rsidR="005E4C45">
        <w:t xml:space="preserve"> Th</w:t>
      </w:r>
      <w:r>
        <w:t xml:space="preserve">e action encompasses activities which will have </w:t>
      </w:r>
      <w:r w:rsidR="005E4C45">
        <w:t xml:space="preserve">positive impact </w:t>
      </w:r>
      <w:r>
        <w:t xml:space="preserve">on promoting gender mainstreaming and safeguarding equal opportunities. Particularly important in this regard is the planned improvement in the transparency of the public administration (Activity 1.2) and the improved quality and availability of social statistics (Activity 2.1), which will </w:t>
      </w:r>
      <w:r w:rsidR="00A05BBC">
        <w:t>ensure that cases and level of discrimination are revealed and hopefully – addressed. In addition, the efforts to improve ethics and professionalism in public administration per se mean mainstreaming of gender equality concept</w:t>
      </w:r>
      <w:r w:rsidR="0092695A">
        <w:t>.</w:t>
      </w:r>
    </w:p>
    <w:p w:rsidR="00252DA0" w:rsidRPr="00FE258A" w:rsidRDefault="005E4C45" w:rsidP="0092695A">
      <w:pPr>
        <w:spacing w:before="360"/>
        <w:ind w:right="-170"/>
        <w:rPr>
          <w:rFonts w:ascii="Arial" w:hAnsi="Arial" w:cs="Arial"/>
          <w:b/>
          <w:bCs/>
          <w:smallCaps/>
        </w:rPr>
      </w:pPr>
      <w:r w:rsidRPr="00FE258A">
        <w:rPr>
          <w:rFonts w:ascii="Arial" w:hAnsi="Arial" w:cs="Arial"/>
          <w:b/>
          <w:smallCaps/>
        </w:rPr>
        <w:t>Minorities and vulnerable groups</w:t>
      </w:r>
    </w:p>
    <w:p w:rsidR="00252DA0" w:rsidRDefault="005E4C45">
      <w:pPr>
        <w:pStyle w:val="ActionDocument"/>
        <w:rPr>
          <w:lang w:eastAsia="en-GB"/>
        </w:rPr>
      </w:pPr>
      <w:r>
        <w:rPr>
          <w:lang w:eastAsia="en-GB"/>
        </w:rPr>
        <w:t>Similarly, the activities encompassed in this Action will address</w:t>
      </w:r>
      <w:r w:rsidR="00A05BBC">
        <w:rPr>
          <w:lang w:eastAsia="en-GB"/>
        </w:rPr>
        <w:t xml:space="preserve"> indirectly</w:t>
      </w:r>
      <w:r>
        <w:rPr>
          <w:lang w:eastAsia="en-GB"/>
        </w:rPr>
        <w:t xml:space="preserve"> the issues related to minorities and vulnerable groups.</w:t>
      </w:r>
    </w:p>
    <w:p w:rsidR="00252DA0" w:rsidRDefault="005E4C45">
      <w:pPr>
        <w:pStyle w:val="ActionDocument"/>
        <w:rPr>
          <w:lang w:eastAsia="en-GB"/>
        </w:rPr>
      </w:pPr>
      <w:r>
        <w:rPr>
          <w:lang w:eastAsia="en-GB"/>
        </w:rPr>
        <w:t>The Constitution entrenched the principles of the European Convention on Human Rights guaranteeing the supremacy of this Convention over national legislation.</w:t>
      </w:r>
    </w:p>
    <w:p w:rsidR="00252DA0" w:rsidRDefault="005E4C45">
      <w:pPr>
        <w:pStyle w:val="ActionDocument"/>
      </w:pPr>
      <w:r>
        <w:rPr>
          <w:lang w:eastAsia="en-GB"/>
        </w:rPr>
        <w:t>As regards international human rights instruments, all major UN and international human rights conventions are ratified.</w:t>
      </w:r>
      <w:r>
        <w:t xml:space="preserve"> All minorities are represented and SIOFA is in charge of monitoring of the public administration reforms and other areas which are directly or indirectly associated with the implementation of the Framework Agreement, which envisages: </w:t>
      </w:r>
    </w:p>
    <w:p w:rsidR="00252DA0" w:rsidRDefault="005E4C45">
      <w:pPr>
        <w:pStyle w:val="ActionDocument"/>
        <w:rPr>
          <w:i/>
        </w:rPr>
      </w:pPr>
      <w:r>
        <w:rPr>
          <w:i/>
        </w:rPr>
        <w:t>“Laws regulating employment in public administration will include measures to assure equitable representation of communities in all central and local public bodies and at all levels of employment within such bodies, while respecting the rules concerning competence and integrity that govern public administration.”</w:t>
      </w:r>
    </w:p>
    <w:p w:rsidR="00252DA0" w:rsidRDefault="005E4C45">
      <w:pPr>
        <w:pStyle w:val="ActionDocument"/>
      </w:pPr>
      <w:r>
        <w:t xml:space="preserve">The Strategy for the Roma (2014 – 2020) also envisages measures to even the level of involvement and integration of all ethnic groups and combating discrimination. </w:t>
      </w:r>
    </w:p>
    <w:p w:rsidR="00252DA0" w:rsidRDefault="005E4C45">
      <w:pPr>
        <w:pStyle w:val="ActionDocument"/>
      </w:pPr>
      <w:r>
        <w:t>To support the development and strengthening of adequate capacities in the delivery of public service, the accession to public information and the integrity of public administration, IPA II assistance indeed represents a key element.</w:t>
      </w:r>
    </w:p>
    <w:p w:rsidR="00252DA0" w:rsidRDefault="005E4C45">
      <w:pPr>
        <w:pStyle w:val="ActionDocument"/>
      </w:pPr>
      <w:r>
        <w:t>In this framework, the implementation of this Action will further enhance the respect for minorities and vulnerable groups. For example, the improvement of public service delivery (</w:t>
      </w:r>
      <w:r w:rsidR="005A414A">
        <w:t>Activity</w:t>
      </w:r>
      <w:r w:rsidR="007676A3">
        <w:t xml:space="preserve"> 1.</w:t>
      </w:r>
      <w:r w:rsidR="007E2DA9">
        <w:t>3</w:t>
      </w:r>
      <w:r>
        <w:t>) will deal broadly with extension of e-services and accessibility standards: this will facilitate the fruition of public services among the less advantaged groups (disabled or people leaving in remote areas</w:t>
      </w:r>
      <w:r w:rsidR="00A05BBC">
        <w:t>, very often from minority origin</w:t>
      </w:r>
      <w:r>
        <w:t>).</w:t>
      </w:r>
    </w:p>
    <w:p w:rsidR="00252DA0" w:rsidRDefault="005E4C45">
      <w:pPr>
        <w:pStyle w:val="ActionDocument"/>
      </w:pPr>
      <w:r>
        <w:t>Similarly to the impact that the Action will have in ensuring equal opportunities, the introduction of codes of ethics and limitation of discretionary powers within the public administration will contribute in decreasing all sorts of discriminations.</w:t>
      </w:r>
    </w:p>
    <w:p w:rsidR="00252DA0" w:rsidRDefault="005E4C45">
      <w:pPr>
        <w:pStyle w:val="ActionDocument"/>
      </w:pPr>
      <w:r>
        <w:t xml:space="preserve">Moreover, the reorganisation of inspection services (envisaged in </w:t>
      </w:r>
      <w:r w:rsidR="005A414A">
        <w:t xml:space="preserve">Activity </w:t>
      </w:r>
      <w:r w:rsidR="007676A3">
        <w:t>1.</w:t>
      </w:r>
      <w:r>
        <w:t>1) will lead to a major surveillance and quicker reaction in all cases of discrimination based on nationality, religion or other issues.</w:t>
      </w:r>
    </w:p>
    <w:p w:rsidR="00252DA0" w:rsidRDefault="005E4C45">
      <w:pPr>
        <w:pStyle w:val="ActionDocument"/>
      </w:pPr>
      <w:r>
        <w:t>In a broader context, the production of enriched social statistics (</w:t>
      </w:r>
      <w:r w:rsidR="005A414A">
        <w:t>Activity</w:t>
      </w:r>
      <w:r w:rsidR="007676A3">
        <w:t xml:space="preserve"> 2.1</w:t>
      </w:r>
      <w:r>
        <w:t>) will eventually enable policy makers to have more precise data on the population conditions and therefore design policies that are conceived for or targeted to minorities and vulnerable groups.</w:t>
      </w:r>
    </w:p>
    <w:p w:rsidR="0092695A" w:rsidRDefault="0092695A" w:rsidP="0092695A">
      <w:pPr>
        <w:spacing w:before="360"/>
        <w:ind w:right="-170"/>
        <w:rPr>
          <w:rFonts w:ascii="Arial" w:hAnsi="Arial" w:cs="Arial"/>
          <w:b/>
          <w:smallCaps/>
        </w:rPr>
      </w:pPr>
    </w:p>
    <w:p w:rsidR="00252DA0" w:rsidRPr="00FE258A" w:rsidRDefault="005E4C45" w:rsidP="0092695A">
      <w:pPr>
        <w:spacing w:before="360"/>
        <w:ind w:right="-170"/>
        <w:rPr>
          <w:rFonts w:ascii="Arial" w:hAnsi="Arial" w:cs="Arial"/>
          <w:b/>
          <w:bCs/>
          <w:smallCaps/>
        </w:rPr>
      </w:pPr>
      <w:r w:rsidRPr="00FE258A">
        <w:rPr>
          <w:rFonts w:ascii="Arial" w:hAnsi="Arial" w:cs="Arial"/>
          <w:b/>
          <w:smallCaps/>
        </w:rPr>
        <w:t>Engagement with civil society (and if relevant other non-state stakeholders)</w:t>
      </w:r>
    </w:p>
    <w:p w:rsidR="00252DA0" w:rsidRDefault="00FF5CA3">
      <w:pPr>
        <w:pStyle w:val="ActionDocument"/>
        <w:rPr>
          <w:lang w:eastAsia="en-GB"/>
        </w:rPr>
      </w:pPr>
      <w:r>
        <w:rPr>
          <w:lang w:eastAsia="en-GB"/>
        </w:rPr>
        <w:t>The action has been developed and will be implemented in close cooperation with the civil society organisations.</w:t>
      </w:r>
    </w:p>
    <w:p w:rsidR="00252DA0" w:rsidRDefault="005E4C45">
      <w:pPr>
        <w:pStyle w:val="ActionDocument"/>
      </w:pPr>
      <w:r>
        <w:t xml:space="preserve">The Strategy for cooperation of the Government with Civil Society Sector (2012-2017) sets out the objectives, principles and forms of cooperation with civil society. The Action Plan for its implementation includes measures that are directly addressing the cooperation with civil society in the five priority areas of the PAR. </w:t>
      </w:r>
      <w:r>
        <w:rPr>
          <w:lang w:eastAsia="en-GB"/>
        </w:rPr>
        <w:t xml:space="preserve">However, although regulated, the engagement of citizens in the decision-making processes has not been implemented to a standard that could genuinely allow an </w:t>
      </w:r>
      <w:r>
        <w:t>inclusive involvement of CSOs in the development of public policies.</w:t>
      </w:r>
      <w:r w:rsidR="00FF5CA3">
        <w:t xml:space="preserve"> Although this is not the main objective of this Action, its implementation will contribute to changing the situation – </w:t>
      </w:r>
      <w:r w:rsidR="00FF5BE6">
        <w:t>improving the</w:t>
      </w:r>
      <w:r w:rsidR="00FF5CA3">
        <w:t xml:space="preserve"> transparency </w:t>
      </w:r>
      <w:r w:rsidR="00FF5BE6">
        <w:t>will arm the</w:t>
      </w:r>
      <w:r w:rsidR="00FF5CA3">
        <w:t xml:space="preserve"> civil society </w:t>
      </w:r>
      <w:r w:rsidR="00FF5BE6">
        <w:t xml:space="preserve">with timely and </w:t>
      </w:r>
      <w:r w:rsidR="00FF5CA3">
        <w:t>higher quality information on the sector reforms</w:t>
      </w:r>
      <w:r w:rsidR="00FF5BE6">
        <w:t xml:space="preserve"> (Activity 1.2)</w:t>
      </w:r>
      <w:r w:rsidR="00FF5CA3">
        <w:t xml:space="preserve">. </w:t>
      </w:r>
      <w:r w:rsidR="00FF5BE6">
        <w:t xml:space="preserve">The improvement of statistics production and dissemination (Activity 2.1 and 2.2.) would also enlarge the public information available for policy analysis. </w:t>
      </w:r>
      <w:r w:rsidR="00FF5CA3">
        <w:t>The lack of information has been identified by the civil society as a main barrier to its participation in the policy-making.</w:t>
      </w:r>
      <w:r w:rsidR="00FF5BE6">
        <w:t xml:space="preserve"> By resolving this issue, the action will also support civil society giving it tools to assume a more active role in crafting the sector policies.</w:t>
      </w:r>
    </w:p>
    <w:p w:rsidR="00252DA0" w:rsidRDefault="00FF5CA3">
      <w:pPr>
        <w:pStyle w:val="ActionDocument"/>
      </w:pPr>
      <w:r>
        <w:t xml:space="preserve">In addition, </w:t>
      </w:r>
      <w:r w:rsidR="005E4C45">
        <w:t>NIPAC established a consultation mechanism with the CSOs</w:t>
      </w:r>
      <w:r w:rsidR="00FF5BE6">
        <w:t xml:space="preserve"> at sector level based on registration and networking of </w:t>
      </w:r>
      <w:r w:rsidR="005E4C45">
        <w:t xml:space="preserve">Sectorial Civil Society Organisations </w:t>
      </w:r>
      <w:r w:rsidR="00FF5BE6">
        <w:t xml:space="preserve">– </w:t>
      </w:r>
      <w:r w:rsidR="005E4C45">
        <w:t>SECOs</w:t>
      </w:r>
      <w:r w:rsidR="00FF5BE6">
        <w:t xml:space="preserve">. This mechanism </w:t>
      </w:r>
      <w:r w:rsidR="005E4C45">
        <w:t xml:space="preserve">enables </w:t>
      </w:r>
      <w:r w:rsidR="00FF5BE6">
        <w:t xml:space="preserve">the </w:t>
      </w:r>
      <w:r w:rsidR="005E4C45">
        <w:t>exchange of information and contribution of CSOs in relation to programming and monitoring of the international assistance including IPA II. Members of SECO participate in the meetings of PAR Sectorial Working Group (SWG)</w:t>
      </w:r>
      <w:r w:rsidR="00FF5BE6">
        <w:t>, established within the introduction of the IPA II sector approach</w:t>
      </w:r>
      <w:r w:rsidR="00857187">
        <w:t xml:space="preserve"> and involved in programming </w:t>
      </w:r>
      <w:r w:rsidR="00E718E8">
        <w:t>and</w:t>
      </w:r>
      <w:r w:rsidR="00857187">
        <w:t xml:space="preserve"> monitoring of the EU funds</w:t>
      </w:r>
      <w:r w:rsidR="00E718E8">
        <w:t xml:space="preserve"> and in assessing the advancement of the new PAR</w:t>
      </w:r>
      <w:r w:rsidR="00857187">
        <w:t xml:space="preserve">. </w:t>
      </w:r>
      <w:r w:rsidR="00FF5BE6">
        <w:t>In parallel, the European Commission has established the IPA consultation mechanism involving over 250 civil society organisations. These mechanisms operate smoothly allowing feedback from the civil society on programming and in future – on the monitoring of the EU aid but also on monitoring of the achievement of the results and the objectives of the actions.</w:t>
      </w:r>
    </w:p>
    <w:p w:rsidR="00252DA0" w:rsidRPr="00FE258A" w:rsidRDefault="005E4C45" w:rsidP="0092695A">
      <w:pPr>
        <w:spacing w:before="360"/>
        <w:ind w:right="-170"/>
        <w:rPr>
          <w:rFonts w:ascii="Arial" w:hAnsi="Arial" w:cs="Arial"/>
          <w:b/>
          <w:bCs/>
          <w:smallCaps/>
        </w:rPr>
      </w:pPr>
      <w:r w:rsidRPr="00FE258A">
        <w:rPr>
          <w:rFonts w:ascii="Arial" w:hAnsi="Arial" w:cs="Arial"/>
          <w:b/>
          <w:smallCaps/>
        </w:rPr>
        <w:t>Environment and climate change (and if relevant disaster resilience)</w:t>
      </w:r>
    </w:p>
    <w:p w:rsidR="00252DA0" w:rsidRDefault="005E4C45">
      <w:pPr>
        <w:pStyle w:val="ActionDocument"/>
      </w:pPr>
      <w:r>
        <w:rPr>
          <w:lang w:eastAsia="en-GB"/>
        </w:rPr>
        <w:t>As part as a wider obligation to sustainable development, the EU has a longstanding commitment to address environmental concerns in its assistance programmes.</w:t>
      </w:r>
      <w:r w:rsidR="00EC5FB6">
        <w:rPr>
          <w:lang w:eastAsia="en-GB"/>
        </w:rPr>
        <w:t xml:space="preserve"> This action, although not directly focused on environment, will have  a positive impact on addressing the environmental challenges in future in several ways: 1). By strengthening the public administration in general, which is the driver of the reforms in the environmental sector as well; 2). </w:t>
      </w:r>
      <w:r w:rsidR="00C406A6">
        <w:rPr>
          <w:lang w:eastAsia="en-GB"/>
        </w:rPr>
        <w:t xml:space="preserve">By strengthening the inspection services, including the Environmental inspection body, 3) </w:t>
      </w:r>
      <w:r w:rsidR="00EC5FB6">
        <w:rPr>
          <w:lang w:eastAsia="en-GB"/>
        </w:rPr>
        <w:t>By improving the transparency of the administration and introducing transparency standards, which also means an easier access to environmental information</w:t>
      </w:r>
      <w:r w:rsidR="00C406A6">
        <w:rPr>
          <w:lang w:eastAsia="en-GB"/>
        </w:rPr>
        <w:t xml:space="preserve">. </w:t>
      </w:r>
      <w:r w:rsidR="00EC5FB6">
        <w:t xml:space="preserve">In addition, the investments in the state statistical office </w:t>
      </w:r>
      <w:r>
        <w:t>(</w:t>
      </w:r>
      <w:r w:rsidR="005A414A">
        <w:t>Activity</w:t>
      </w:r>
      <w:r w:rsidR="007676A3">
        <w:t xml:space="preserve"> 2.1</w:t>
      </w:r>
      <w:r>
        <w:t xml:space="preserve">) </w:t>
      </w:r>
      <w:r w:rsidR="00EC5FB6">
        <w:t>means improvements in the mode of collecting and dissemination of statistics, including the environmental statistics, serving both civil society</w:t>
      </w:r>
      <w:r w:rsidR="00C406A6">
        <w:t xml:space="preserve"> (environmental organisation) </w:t>
      </w:r>
      <w:r w:rsidR="00EC5FB6">
        <w:t xml:space="preserve">and </w:t>
      </w:r>
      <w:r w:rsidR="00C406A6">
        <w:t xml:space="preserve">the decision-makers in the policy-making process. </w:t>
      </w:r>
    </w:p>
    <w:p w:rsidR="00252DA0" w:rsidRPr="00FE258A" w:rsidRDefault="005E4C45">
      <w:pPr>
        <w:pStyle w:val="Heading1"/>
      </w:pPr>
      <w:r w:rsidRPr="00FE258A">
        <w:t xml:space="preserve">7. Sustainability </w:t>
      </w:r>
    </w:p>
    <w:p w:rsidR="00252DA0" w:rsidRDefault="005E4C45">
      <w:pPr>
        <w:pStyle w:val="ActionDocument"/>
        <w:rPr>
          <w:lang w:eastAsia="en-GB"/>
        </w:rPr>
      </w:pPr>
      <w:r>
        <w:rPr>
          <w:lang w:eastAsia="en-GB"/>
        </w:rPr>
        <w:t xml:space="preserve">This Action envisages </w:t>
      </w:r>
      <w:r w:rsidR="007E2DA9">
        <w:rPr>
          <w:lang w:eastAsia="en-GB"/>
        </w:rPr>
        <w:t>supporting</w:t>
      </w:r>
      <w:r>
        <w:rPr>
          <w:lang w:eastAsia="en-GB"/>
        </w:rPr>
        <w:t xml:space="preserve">activities which are included in the draft PAR Strategy 2017-2022. In this sense, the sustainability of the </w:t>
      </w:r>
      <w:r w:rsidR="002E6F2B">
        <w:rPr>
          <w:lang w:eastAsia="en-GB"/>
        </w:rPr>
        <w:t xml:space="preserve">Action </w:t>
      </w:r>
      <w:r>
        <w:rPr>
          <w:lang w:eastAsia="en-GB"/>
        </w:rPr>
        <w:t>is interlinked with the sustainability of the overall sector reform.</w:t>
      </w:r>
      <w:r w:rsidR="00471BDB">
        <w:rPr>
          <w:lang w:eastAsia="en-GB"/>
        </w:rPr>
        <w:t xml:space="preserve">The </w:t>
      </w:r>
      <w:r w:rsidR="0058453A">
        <w:rPr>
          <w:lang w:eastAsia="en-GB"/>
        </w:rPr>
        <w:t>draft PAR strategy aims to reform public administration in line with the Principles of Public Administration</w:t>
      </w:r>
      <w:r w:rsidR="00471BDB">
        <w:rPr>
          <w:lang w:eastAsia="en-GB"/>
        </w:rPr>
        <w:t>, and is therefore in line with the new approach advocated by the Commission.</w:t>
      </w:r>
    </w:p>
    <w:p w:rsidR="002E6F2B" w:rsidRDefault="005E4C45">
      <w:pPr>
        <w:pStyle w:val="ActionDocument"/>
        <w:rPr>
          <w:lang w:eastAsia="en-GB"/>
        </w:rPr>
      </w:pPr>
      <w:r>
        <w:rPr>
          <w:lang w:eastAsia="en-GB"/>
        </w:rPr>
        <w:t>However, given the still uncommitted political support to PAR, it emerges quite clearly that there is a widespread uncertainty on the availability of sound financial provisions to effectively implement it.</w:t>
      </w:r>
      <w:r w:rsidR="002E6F2B">
        <w:rPr>
          <w:lang w:eastAsia="en-GB"/>
        </w:rPr>
        <w:t xml:space="preserve">Therefore the adoption of the Strategy and the commitment to ensure the needed resources for the PAR have been included as pre-conditions for launching this Action. </w:t>
      </w:r>
    </w:p>
    <w:p w:rsidR="00252DA0" w:rsidRDefault="0003550D">
      <w:pPr>
        <w:pStyle w:val="ActionDocument"/>
        <w:rPr>
          <w:lang w:eastAsia="en-GB"/>
        </w:rPr>
      </w:pPr>
      <w:r>
        <w:rPr>
          <w:lang w:eastAsia="en-GB"/>
        </w:rPr>
        <w:t xml:space="preserve">The proposed activities have a strong long-term impact and the sustainability prospects remain high. </w:t>
      </w:r>
      <w:r w:rsidR="005E4C45">
        <w:rPr>
          <w:lang w:eastAsia="en-GB"/>
        </w:rPr>
        <w:t xml:space="preserve">For example, the reorganisation and optimisation of the institutional framework (envisaged by </w:t>
      </w:r>
      <w:r w:rsidR="005A414A">
        <w:t>Activity</w:t>
      </w:r>
      <w:r w:rsidR="007676A3">
        <w:rPr>
          <w:lang w:eastAsia="en-GB"/>
        </w:rPr>
        <w:t xml:space="preserve"> 1.</w:t>
      </w:r>
      <w:r w:rsidR="005E4C45">
        <w:rPr>
          <w:lang w:eastAsia="en-GB"/>
        </w:rPr>
        <w:t>1) will be designed taking into account a more sustainable (and cost-contained) setting of the public administration and eventually decrease redundancies and double spending.The improvement of E-services delivery (</w:t>
      </w:r>
      <w:r w:rsidR="005A414A">
        <w:t>Activity</w:t>
      </w:r>
      <w:r w:rsidR="007676A3">
        <w:rPr>
          <w:lang w:eastAsia="en-GB"/>
        </w:rPr>
        <w:t xml:space="preserve"> 1.</w:t>
      </w:r>
      <w:r w:rsidR="007E2DA9">
        <w:rPr>
          <w:lang w:eastAsia="en-GB"/>
        </w:rPr>
        <w:t>3</w:t>
      </w:r>
      <w:r w:rsidR="005E4C45">
        <w:rPr>
          <w:lang w:eastAsia="en-GB"/>
        </w:rPr>
        <w:t>) is per-se oriented towards a more rationalised, sustainable and cost-effective management of the public administration.</w:t>
      </w:r>
    </w:p>
    <w:p w:rsidR="00252DA0" w:rsidRDefault="00C1003A">
      <w:pPr>
        <w:pStyle w:val="ActionDocument"/>
        <w:rPr>
          <w:lang w:eastAsia="en-GB"/>
        </w:rPr>
      </w:pPr>
      <w:r>
        <w:rPr>
          <w:lang w:eastAsia="en-GB"/>
        </w:rPr>
        <w:t>Furthermore</w:t>
      </w:r>
      <w:r w:rsidR="005E4C45">
        <w:rPr>
          <w:lang w:eastAsia="en-GB"/>
        </w:rPr>
        <w:t>, the introduction of code of conducts and ethics among the public institutions (</w:t>
      </w:r>
      <w:r w:rsidR="005A414A">
        <w:t>Activity</w:t>
      </w:r>
      <w:r w:rsidR="007676A3">
        <w:rPr>
          <w:lang w:eastAsia="en-GB"/>
        </w:rPr>
        <w:t xml:space="preserve"> 1.2</w:t>
      </w:r>
      <w:r w:rsidR="005E4C45">
        <w:rPr>
          <w:lang w:eastAsia="en-GB"/>
        </w:rPr>
        <w:t>) is also oriented to a more sustainable public administration; implicitly, the fighting and preventing of corruption also means that the costs of corruption in terms of collateral damages and waste of resources will be contained, with the ultimate goal of a more sustainable public administration.</w:t>
      </w:r>
    </w:p>
    <w:p w:rsidR="0058453A" w:rsidRPr="0058453A" w:rsidRDefault="005E4C45" w:rsidP="0058453A">
      <w:pPr>
        <w:pStyle w:val="ActionDocument"/>
        <w:rPr>
          <w:lang w:eastAsia="en-GB"/>
        </w:rPr>
      </w:pPr>
      <w:r>
        <w:rPr>
          <w:lang w:eastAsia="en-GB"/>
        </w:rPr>
        <w:t>Taking into account the crucial role played by PAR in the EU integration process and eventually in the future accession negotiations, the willingness of all involved institutions in optimising and profiting of the IPA II assistance and in achieving a consolidated, robust and sustainable management of public administration has to be assumed and taken for granted.</w:t>
      </w:r>
    </w:p>
    <w:p w:rsidR="0058453A" w:rsidRDefault="00471BDB">
      <w:pPr>
        <w:pStyle w:val="ActionDocument"/>
      </w:pPr>
      <w:r w:rsidRPr="00471BDB">
        <w:t>F</w:t>
      </w:r>
      <w:r w:rsidR="00C1003A">
        <w:t>inally</w:t>
      </w:r>
      <w:r>
        <w:t xml:space="preserve">, </w:t>
      </w:r>
      <w:r w:rsidRPr="00471BDB">
        <w:t xml:space="preserve">any support </w:t>
      </w:r>
      <w:r>
        <w:t xml:space="preserve">for </w:t>
      </w:r>
      <w:r w:rsidRPr="00402EDA">
        <w:rPr>
          <w:i/>
        </w:rPr>
        <w:t>acquis</w:t>
      </w:r>
      <w:r w:rsidRPr="00471BDB">
        <w:t xml:space="preserve"> alignment </w:t>
      </w:r>
      <w:r>
        <w:t xml:space="preserve">under this Action </w:t>
      </w:r>
      <w:r w:rsidRPr="00471BDB">
        <w:t xml:space="preserve">will be done </w:t>
      </w:r>
      <w:r>
        <w:t xml:space="preserve">by ensuring an </w:t>
      </w:r>
      <w:r w:rsidRPr="00471BDB">
        <w:t xml:space="preserve">inclusive and evidence-based </w:t>
      </w:r>
      <w:r>
        <w:t xml:space="preserve">process according to the national legislation in force and by involving key internal and external stakeholders through inter-ministerial and public consultations. Any relevant </w:t>
      </w:r>
      <w:r w:rsidRPr="00471BDB">
        <w:t>training, capacity-building and human resources development activities will be coordinated with the institution that is centrally responsible for human resources management and professional development of civil servants</w:t>
      </w:r>
      <w:r>
        <w:t xml:space="preserve">. All </w:t>
      </w:r>
      <w:r w:rsidRPr="00471BDB">
        <w:t>activit</w:t>
      </w:r>
      <w:r>
        <w:t>ies</w:t>
      </w:r>
      <w:r w:rsidRPr="00471BDB">
        <w:t xml:space="preserve"> supporting the development of IT tools will ensure consistency with the interoperability standards</w:t>
      </w:r>
      <w:r>
        <w:t>. Any s</w:t>
      </w:r>
      <w:r w:rsidRPr="00471BDB">
        <w:t>upport to reorganisation of public institutions shall be accompanied with a commitment by the national authorities to grant the sufficient legal powers, resources and staffing necessary to discharge their mandate</w:t>
      </w:r>
      <w:r>
        <w:t xml:space="preserve">. </w:t>
      </w:r>
      <w:r w:rsidR="00C1003A">
        <w:t xml:space="preserve">When </w:t>
      </w:r>
      <w:r w:rsidRPr="00471BDB">
        <w:t xml:space="preserve">written procedural manuals or guidelines are developed, they </w:t>
      </w:r>
      <w:r w:rsidR="00C1003A">
        <w:t>need to be done through support of t</w:t>
      </w:r>
      <w:r>
        <w:t>he staff of respective organisations so that they can continue t</w:t>
      </w:r>
      <w:r w:rsidR="00C1003A">
        <w:t xml:space="preserve">o update these manuals </w:t>
      </w:r>
      <w:r>
        <w:t xml:space="preserve">independently </w:t>
      </w:r>
      <w:r w:rsidR="00C1003A">
        <w:t xml:space="preserve">and </w:t>
      </w:r>
      <w:r>
        <w:t xml:space="preserve">without </w:t>
      </w:r>
      <w:r w:rsidRPr="00471BDB">
        <w:t xml:space="preserve">external </w:t>
      </w:r>
      <w:r>
        <w:t xml:space="preserve">expert </w:t>
      </w:r>
      <w:r w:rsidRPr="00471BDB">
        <w:t>support. Any guidelines or procedures developed shall not contradict with any legal provision of the country.</w:t>
      </w:r>
    </w:p>
    <w:p w:rsidR="00252DA0" w:rsidRPr="00FE258A" w:rsidRDefault="005E4C45" w:rsidP="0092695A">
      <w:pPr>
        <w:pStyle w:val="Heading1"/>
        <w:spacing w:before="360"/>
      </w:pPr>
      <w:r w:rsidRPr="00FE258A">
        <w:t xml:space="preserve">8. Communication and visibility </w:t>
      </w:r>
    </w:p>
    <w:p w:rsidR="008F0708" w:rsidRDefault="005E4C45" w:rsidP="00AE5B8D">
      <w:pPr>
        <w:rPr>
          <w:rFonts w:ascii="Times New Roman" w:hAnsi="Times New Roman" w:cs="Times New Roman"/>
        </w:rPr>
      </w:pPr>
      <w:r w:rsidRPr="00AE5B8D">
        <w:rPr>
          <w:rFonts w:ascii="Times New Roman" w:hAnsi="Times New Roman" w:cs="Times New Roman"/>
        </w:rPr>
        <w:t>Communication and visibility will be given high importance during the implementation of the Action</w:t>
      </w:r>
      <w:r w:rsidR="00AE5B8D" w:rsidRPr="00AE5B8D">
        <w:rPr>
          <w:rFonts w:ascii="Times New Roman" w:hAnsi="Times New Roman" w:cs="Times New Roman"/>
        </w:rPr>
        <w:t xml:space="preserve"> despite </w:t>
      </w:r>
      <w:r w:rsidR="00AE5B8D">
        <w:rPr>
          <w:rFonts w:ascii="Times New Roman" w:hAnsi="Times New Roman" w:cs="Times New Roman"/>
        </w:rPr>
        <w:t>its</w:t>
      </w:r>
      <w:r w:rsidR="00AE5B8D" w:rsidRPr="00AE5B8D">
        <w:rPr>
          <w:rFonts w:ascii="Times New Roman" w:hAnsi="Times New Roman" w:cs="Times New Roman"/>
        </w:rPr>
        <w:t xml:space="preserve"> very "institutional" character. </w:t>
      </w:r>
      <w:r w:rsidR="008330FE" w:rsidRPr="00AE5B8D">
        <w:rPr>
          <w:rFonts w:ascii="Times New Roman" w:hAnsi="Times New Roman" w:cs="Times New Roman"/>
        </w:rPr>
        <w:t>A communication plan will be prepared by the EU Delegation and the main beneficiaries</w:t>
      </w:r>
      <w:r w:rsidR="00AE5B8D" w:rsidRPr="00AE5B8D">
        <w:rPr>
          <w:rFonts w:ascii="Times New Roman" w:hAnsi="Times New Roman" w:cs="Times New Roman"/>
        </w:rPr>
        <w:t xml:space="preserve"> to identify which are the main "drivers" of visibility in this action allowing for an adequate promotion of </w:t>
      </w:r>
      <w:r w:rsidR="008F0708">
        <w:rPr>
          <w:rFonts w:ascii="Times New Roman" w:hAnsi="Times New Roman" w:cs="Times New Roman"/>
        </w:rPr>
        <w:t>the</w:t>
      </w:r>
      <w:r w:rsidR="00AE5B8D" w:rsidRPr="00AE5B8D">
        <w:rPr>
          <w:rFonts w:ascii="Times New Roman" w:hAnsi="Times New Roman" w:cs="Times New Roman"/>
        </w:rPr>
        <w:t xml:space="preserve"> EU support</w:t>
      </w:r>
      <w:r w:rsidR="008330FE" w:rsidRPr="00AE5B8D">
        <w:rPr>
          <w:rFonts w:ascii="Times New Roman" w:hAnsi="Times New Roman" w:cs="Times New Roman"/>
        </w:rPr>
        <w:t xml:space="preserve">. The communication plan will propose "out-of-the-box" solutions for communicating the EU </w:t>
      </w:r>
      <w:r w:rsidR="008F0708">
        <w:rPr>
          <w:rFonts w:ascii="Times New Roman" w:hAnsi="Times New Roman" w:cs="Times New Roman"/>
        </w:rPr>
        <w:t>aidthat</w:t>
      </w:r>
      <w:r w:rsidR="008330FE" w:rsidRPr="00AE5B8D">
        <w:rPr>
          <w:rFonts w:ascii="Times New Roman" w:hAnsi="Times New Roman" w:cs="Times New Roman"/>
        </w:rPr>
        <w:t xml:space="preserve"> demonstrate the benefits of the actions to the large public</w:t>
      </w:r>
      <w:r w:rsidR="008F0708">
        <w:rPr>
          <w:rFonts w:ascii="Times New Roman" w:hAnsi="Times New Roman" w:cs="Times New Roman"/>
        </w:rPr>
        <w:t xml:space="preserve">, the </w:t>
      </w:r>
      <w:r w:rsidR="008F0708" w:rsidRPr="00AE5B8D">
        <w:rPr>
          <w:rFonts w:ascii="Times New Roman" w:hAnsi="Times New Roman" w:cs="Times New Roman"/>
        </w:rPr>
        <w:t>added value and impact of the EU's in</w:t>
      </w:r>
      <w:r w:rsidR="008F0708">
        <w:rPr>
          <w:rFonts w:ascii="Times New Roman" w:hAnsi="Times New Roman" w:cs="Times New Roman"/>
        </w:rPr>
        <w:t xml:space="preserve">terventions. Thus the communication activities </w:t>
      </w:r>
      <w:r w:rsidR="008F0708" w:rsidRPr="00AE5B8D">
        <w:rPr>
          <w:rFonts w:ascii="Times New Roman" w:hAnsi="Times New Roman" w:cs="Times New Roman"/>
        </w:rPr>
        <w:t xml:space="preserve">will </w:t>
      </w:r>
      <w:r w:rsidR="008F0708">
        <w:rPr>
          <w:rFonts w:ascii="Times New Roman" w:hAnsi="Times New Roman" w:cs="Times New Roman"/>
        </w:rPr>
        <w:t xml:space="preserve">also </w:t>
      </w:r>
      <w:r w:rsidR="008F0708" w:rsidRPr="00AE5B8D">
        <w:rPr>
          <w:rFonts w:ascii="Times New Roman" w:hAnsi="Times New Roman" w:cs="Times New Roman"/>
        </w:rPr>
        <w:t>promote transparency and accountability on the use of funds.</w:t>
      </w:r>
      <w:r w:rsidR="008F0708">
        <w:rPr>
          <w:rFonts w:ascii="Times New Roman" w:hAnsi="Times New Roman" w:cs="Times New Roman"/>
        </w:rPr>
        <w:t xml:space="preserve"> These action-level communication activities will be funded </w:t>
      </w:r>
      <w:r w:rsidR="00DE1928">
        <w:rPr>
          <w:rFonts w:ascii="Times New Roman" w:hAnsi="Times New Roman" w:cs="Times New Roman"/>
        </w:rPr>
        <w:t xml:space="preserve">partially </w:t>
      </w:r>
      <w:r w:rsidR="008F0708">
        <w:rPr>
          <w:rFonts w:ascii="Times New Roman" w:hAnsi="Times New Roman" w:cs="Times New Roman"/>
        </w:rPr>
        <w:t xml:space="preserve">from the EUD INFO&amp;COM budget and partially </w:t>
      </w:r>
      <w:r w:rsidR="00DE1928">
        <w:rPr>
          <w:rFonts w:ascii="Times New Roman" w:hAnsi="Times New Roman" w:cs="Times New Roman"/>
        </w:rPr>
        <w:t>through the planned contracts (the requirements and obligations will be established in the relevant terms of references)</w:t>
      </w:r>
    </w:p>
    <w:p w:rsidR="00252DA0" w:rsidRPr="00EC5FB6" w:rsidRDefault="005E4C45" w:rsidP="009E1D9B">
      <w:pPr>
        <w:rPr>
          <w:lang w:eastAsia="en-GB"/>
        </w:rPr>
      </w:pPr>
      <w:r w:rsidRPr="00AE5B8D">
        <w:rPr>
          <w:rFonts w:ascii="Times New Roman" w:hAnsi="Times New Roman" w:cs="Times New Roman"/>
        </w:rPr>
        <w:t>A</w:t>
      </w:r>
      <w:r w:rsidR="00AE5B8D" w:rsidRPr="00AE5B8D">
        <w:rPr>
          <w:rFonts w:ascii="Times New Roman" w:hAnsi="Times New Roman" w:cs="Times New Roman"/>
        </w:rPr>
        <w:t>t contract level, a</w:t>
      </w:r>
      <w:r w:rsidRPr="00AE5B8D">
        <w:rPr>
          <w:rFonts w:ascii="Times New Roman" w:hAnsi="Times New Roman" w:cs="Times New Roman"/>
        </w:rPr>
        <w:t xml:space="preserve">ll necessary measures will be taken to </w:t>
      </w:r>
      <w:r w:rsidR="00AE5B8D" w:rsidRPr="00AE5B8D">
        <w:rPr>
          <w:rFonts w:ascii="Times New Roman" w:hAnsi="Times New Roman" w:cs="Times New Roman"/>
        </w:rPr>
        <w:t>promote the EU funding</w:t>
      </w:r>
      <w:r w:rsidRPr="00AE5B8D">
        <w:rPr>
          <w:rFonts w:ascii="Times New Roman" w:hAnsi="Times New Roman" w:cs="Times New Roman"/>
        </w:rPr>
        <w:t xml:space="preserve"> in line with the Communication and Visibility Manual for EU External Actions. </w:t>
      </w:r>
      <w:r w:rsidR="00DE1928">
        <w:rPr>
          <w:rFonts w:ascii="Times New Roman" w:hAnsi="Times New Roman" w:cs="Times New Roman"/>
        </w:rPr>
        <w:t xml:space="preserve">In principle, each contractor is obliged to prepare a separate communication plan, which is approved by the EUD. The EUD places a specific focus on interactive and innovative ways of communication. In this respect, clear instructions are given to each contractor already at the procurement stage and later – at the contract start. </w:t>
      </w:r>
      <w:bookmarkEnd w:id="0"/>
      <w:r w:rsidRPr="00EC5FB6">
        <w:rPr>
          <w:rFonts w:ascii="Times New Roman" w:hAnsi="Times New Roman" w:cs="Times New Roman"/>
          <w:lang w:eastAsia="en-GB"/>
        </w:rPr>
        <w:t>Significant part of the activities will be mostly targeted to the administrative servants and professionals in the public sector (personnel working in the administrations, users of statistics, and holders of public information). Although rather wide, this represents quite a specific and well defined target group</w:t>
      </w:r>
      <w:r w:rsidR="00DE1928">
        <w:rPr>
          <w:rFonts w:ascii="Times New Roman" w:hAnsi="Times New Roman" w:cs="Times New Roman"/>
          <w:lang w:eastAsia="en-GB"/>
        </w:rPr>
        <w:t>, which needs to be covered</w:t>
      </w:r>
      <w:r w:rsidRPr="00EC5FB6">
        <w:rPr>
          <w:rFonts w:ascii="Times New Roman" w:hAnsi="Times New Roman" w:cs="Times New Roman"/>
          <w:lang w:eastAsia="en-GB"/>
        </w:rPr>
        <w:t>.</w:t>
      </w:r>
      <w:r w:rsidR="008F0708" w:rsidRPr="00AE5B8D">
        <w:rPr>
          <w:rFonts w:ascii="Times New Roman" w:hAnsi="Times New Roman" w:cs="Times New Roman"/>
        </w:rPr>
        <w:t xml:space="preserve">The implementation of the </w:t>
      </w:r>
      <w:r w:rsidR="00DE1928">
        <w:rPr>
          <w:rFonts w:ascii="Times New Roman" w:hAnsi="Times New Roman" w:cs="Times New Roman"/>
        </w:rPr>
        <w:t>visibility</w:t>
      </w:r>
      <w:r w:rsidR="008F0708" w:rsidRPr="00AE5B8D">
        <w:rPr>
          <w:rFonts w:ascii="Times New Roman" w:hAnsi="Times New Roman" w:cs="Times New Roman"/>
        </w:rPr>
        <w:t xml:space="preserve"> activities shall be funded from the separate contractors.</w:t>
      </w:r>
      <w:r w:rsidR="008F0708">
        <w:rPr>
          <w:rFonts w:ascii="Times New Roman" w:hAnsi="Times New Roman" w:cs="Times New Roman"/>
        </w:rPr>
        <w:t>.</w:t>
      </w:r>
    </w:p>
    <w:p w:rsidR="00252DA0" w:rsidRPr="00AE5B8D" w:rsidRDefault="005E4C45">
      <w:pPr>
        <w:pStyle w:val="ActionDocument"/>
        <w:rPr>
          <w:lang w:eastAsia="en-GB"/>
        </w:rPr>
      </w:pPr>
      <w:r w:rsidRPr="00AE5B8D">
        <w:rPr>
          <w:lang w:eastAsia="en-GB"/>
        </w:rPr>
        <w:t xml:space="preserve">The </w:t>
      </w:r>
      <w:r w:rsidR="00DE1928">
        <w:rPr>
          <w:lang w:eastAsia="en-GB"/>
        </w:rPr>
        <w:t xml:space="preserve">action envisages some outputs with very high communication potential such as the e-Citizens and e-Business applications, the tool for reporting corruption, the transparency </w:t>
      </w:r>
      <w:r w:rsidRPr="00AE5B8D">
        <w:rPr>
          <w:lang w:eastAsia="en-GB"/>
        </w:rPr>
        <w:t>standards</w:t>
      </w:r>
      <w:r w:rsidR="00DE1928">
        <w:rPr>
          <w:lang w:eastAsia="en-GB"/>
        </w:rPr>
        <w:t xml:space="preserve">, </w:t>
      </w:r>
      <w:r w:rsidRPr="00AE5B8D">
        <w:rPr>
          <w:lang w:eastAsia="en-GB"/>
        </w:rPr>
        <w:t>the e-learning platform</w:t>
      </w:r>
      <w:r w:rsidR="00DE1928">
        <w:rPr>
          <w:lang w:eastAsia="en-GB"/>
        </w:rPr>
        <w:t xml:space="preserve">, the </w:t>
      </w:r>
      <w:r w:rsidRPr="00AE5B8D">
        <w:rPr>
          <w:lang w:eastAsia="en-GB"/>
        </w:rPr>
        <w:t>electronic dissemination of statistics</w:t>
      </w:r>
      <w:r w:rsidR="00DE1928">
        <w:rPr>
          <w:lang w:eastAsia="en-GB"/>
        </w:rPr>
        <w:t xml:space="preserve">. These will be used fully in two ways – to promote the EU and to </w:t>
      </w:r>
      <w:r w:rsidR="00EC5FB6">
        <w:rPr>
          <w:lang w:eastAsia="en-GB"/>
        </w:rPr>
        <w:t>increase the sensitiveness of the general public on public administration reform in the country.</w:t>
      </w:r>
    </w:p>
    <w:sectPr w:rsidR="00252DA0" w:rsidRPr="00AE5B8D" w:rsidSect="008540E0">
      <w:footnotePr>
        <w:numRestart w:val="eachSect"/>
      </w:footnotePr>
      <w:pgSz w:w="11906" w:h="16838"/>
      <w:pgMar w:top="851" w:right="1418" w:bottom="1440" w:left="1276" w:header="720" w:footer="0" w:gutter="0"/>
      <w:cols w:space="720"/>
      <w:docGrid w:linePitch="29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AB6D8E" w15:done="0"/>
  <w15:commentEx w15:paraId="1E96D8A0" w15:done="0"/>
  <w15:commentEx w15:paraId="1C01254E" w15:done="0"/>
  <w15:commentEx w15:paraId="7300D722" w15:done="0"/>
  <w15:commentEx w15:paraId="024A1D3B" w15:done="0"/>
  <w15:commentEx w15:paraId="705006DF" w15:done="0"/>
  <w15:commentEx w15:paraId="492479D2" w15:done="0"/>
  <w15:commentEx w15:paraId="176251EC" w15:done="0"/>
  <w15:commentEx w15:paraId="31ED7C0A" w15:done="0"/>
  <w15:commentEx w15:paraId="7EBC5309" w15:done="0"/>
  <w15:commentEx w15:paraId="19CA8472" w15:done="0"/>
  <w15:commentEx w15:paraId="2287AD16" w15:done="0"/>
  <w15:commentEx w15:paraId="4A07E0B6" w15:done="0"/>
  <w15:commentEx w15:paraId="2B44770B" w15:done="0"/>
  <w15:commentEx w15:paraId="7C979B10" w15:done="0"/>
  <w15:commentEx w15:paraId="5F24AC3F" w15:done="0"/>
  <w15:commentEx w15:paraId="1CF0DB69" w15:done="0"/>
  <w15:commentEx w15:paraId="1C4810BD" w15:done="0"/>
  <w15:commentEx w15:paraId="13B6E533" w15:done="0"/>
  <w15:commentEx w15:paraId="54E0A960" w15:done="0"/>
  <w15:commentEx w15:paraId="49CEBB0A" w15:done="0"/>
  <w15:commentEx w15:paraId="1AEA4F71" w15:done="0"/>
  <w15:commentEx w15:paraId="4DF8AA40" w15:done="0"/>
  <w15:commentEx w15:paraId="29F66F9A" w15:done="0"/>
  <w15:commentEx w15:paraId="7FD350D1" w15:done="0"/>
  <w15:commentEx w15:paraId="51803819" w15:done="0"/>
  <w15:commentEx w15:paraId="4901FCA1" w15:done="0"/>
  <w15:commentEx w15:paraId="3EF4EF6C" w15:done="0"/>
  <w15:commentEx w15:paraId="5591E1FE" w15:done="0"/>
  <w15:commentEx w15:paraId="5897AC5B" w15:done="0"/>
  <w15:commentEx w15:paraId="4DBC0C27" w15:done="0"/>
  <w15:commentEx w15:paraId="422B1FFD" w15:done="0"/>
  <w15:commentEx w15:paraId="0B77155D" w15:done="0"/>
  <w15:commentEx w15:paraId="727B4C33" w15:done="0"/>
  <w15:commentEx w15:paraId="7F27424D" w15:done="0"/>
  <w15:commentEx w15:paraId="202774E4" w15:done="0"/>
  <w15:commentEx w15:paraId="24BC1E7B" w15:done="0"/>
  <w15:commentEx w15:paraId="5FEA0B61" w15:done="0"/>
  <w15:commentEx w15:paraId="30C37902" w15:done="0"/>
  <w15:commentEx w15:paraId="5606035D" w15:done="0"/>
  <w15:commentEx w15:paraId="3FBBE51F" w15:done="0"/>
  <w15:commentEx w15:paraId="2651A40A" w15:done="0"/>
  <w15:commentEx w15:paraId="250EDBF1" w15:done="0"/>
  <w15:commentEx w15:paraId="46186AE4" w15:done="0"/>
  <w15:commentEx w15:paraId="31C98B77" w15:done="0"/>
  <w15:commentEx w15:paraId="1BF81785" w15:done="0"/>
  <w15:commentEx w15:paraId="17AB0124" w15:done="0"/>
  <w15:commentEx w15:paraId="165781EB" w15:done="0"/>
  <w15:commentEx w15:paraId="361FE4EC" w15:done="0"/>
  <w15:commentEx w15:paraId="009DEF54" w15:done="0"/>
  <w15:commentEx w15:paraId="45F328D4" w15:done="0"/>
  <w15:commentEx w15:paraId="1C723984" w15:done="0"/>
  <w15:commentEx w15:paraId="65153C7E" w15:done="0"/>
  <w15:commentEx w15:paraId="7ABE88CF" w15:done="0"/>
  <w15:commentEx w15:paraId="7A9361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3DF" w:rsidRDefault="002863DF">
      <w:r>
        <w:separator/>
      </w:r>
    </w:p>
  </w:endnote>
  <w:endnote w:type="continuationSeparator" w:id="1">
    <w:p w:rsidR="002863DF" w:rsidRDefault="002863DF">
      <w:r>
        <w:continuationSeparator/>
      </w:r>
    </w:p>
  </w:endnote>
  <w:endnote w:type="continuationNotice" w:id="2">
    <w:p w:rsidR="002863DF" w:rsidRDefault="002863DF">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12" w:rsidRDefault="00E2283E">
    <w:pPr>
      <w:pStyle w:val="Footer"/>
      <w:jc w:val="center"/>
    </w:pPr>
    <w:r>
      <w:fldChar w:fldCharType="begin"/>
    </w:r>
    <w:r w:rsidR="00FB0112">
      <w:instrText xml:space="preserve"> PAGE   \* MERGEFORMAT </w:instrText>
    </w:r>
    <w:r>
      <w:fldChar w:fldCharType="separate"/>
    </w:r>
    <w:r w:rsidR="00323A52">
      <w:rPr>
        <w:noProof/>
      </w:rPr>
      <w:t>2</w:t>
    </w:r>
    <w:r>
      <w:rPr>
        <w:noProof/>
      </w:rPr>
      <w:fldChar w:fldCharType="end"/>
    </w:r>
  </w:p>
  <w:p w:rsidR="00FB0112" w:rsidRDefault="00FB01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489941"/>
      <w:docPartObj>
        <w:docPartGallery w:val="Page Numbers (Bottom of Page)"/>
        <w:docPartUnique/>
      </w:docPartObj>
    </w:sdtPr>
    <w:sdtEndPr>
      <w:rPr>
        <w:noProof/>
      </w:rPr>
    </w:sdtEndPr>
    <w:sdtContent>
      <w:p w:rsidR="00FB0112" w:rsidRDefault="00E2283E">
        <w:pPr>
          <w:pStyle w:val="Footer"/>
          <w:ind w:right="-267"/>
          <w:jc w:val="right"/>
        </w:pPr>
        <w:r>
          <w:fldChar w:fldCharType="begin"/>
        </w:r>
        <w:r w:rsidR="00FB0112">
          <w:instrText xml:space="preserve"> PAGE   \* MERGEFORMAT </w:instrText>
        </w:r>
        <w:r>
          <w:fldChar w:fldCharType="separate"/>
        </w:r>
        <w:r w:rsidR="00323A52">
          <w:rPr>
            <w:noProof/>
          </w:rPr>
          <w:t>1</w:t>
        </w:r>
        <w:r>
          <w:rPr>
            <w:noProof/>
          </w:rPr>
          <w:fldChar w:fldCharType="end"/>
        </w:r>
      </w:p>
    </w:sdtContent>
  </w:sdt>
  <w:p w:rsidR="00FB0112" w:rsidRDefault="00FB011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112" w:rsidRDefault="00E2283E">
    <w:pPr>
      <w:pStyle w:val="Footer"/>
      <w:framePr w:wrap="around" w:vAnchor="text" w:hAnchor="margin" w:xAlign="right" w:y="1"/>
      <w:rPr>
        <w:rStyle w:val="PageNumber"/>
      </w:rPr>
    </w:pPr>
    <w:r>
      <w:rPr>
        <w:rStyle w:val="PageNumber"/>
      </w:rPr>
      <w:fldChar w:fldCharType="begin"/>
    </w:r>
    <w:r w:rsidR="00FB0112">
      <w:rPr>
        <w:rStyle w:val="PageNumber"/>
      </w:rPr>
      <w:instrText xml:space="preserve">PAGE  </w:instrText>
    </w:r>
    <w:r>
      <w:rPr>
        <w:rStyle w:val="PageNumber"/>
      </w:rPr>
      <w:fldChar w:fldCharType="end"/>
    </w:r>
  </w:p>
  <w:p w:rsidR="00FB0112" w:rsidRDefault="00FB011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3DF" w:rsidRDefault="002863DF">
      <w:r>
        <w:separator/>
      </w:r>
    </w:p>
  </w:footnote>
  <w:footnote w:type="continuationSeparator" w:id="1">
    <w:p w:rsidR="002863DF" w:rsidRDefault="002863DF">
      <w:r>
        <w:continuationSeparator/>
      </w:r>
    </w:p>
  </w:footnote>
  <w:footnote w:type="continuationNotice" w:id="2">
    <w:p w:rsidR="002863DF" w:rsidRDefault="002863DF">
      <w:pPr>
        <w:spacing w:before="0" w:after="0"/>
      </w:pPr>
    </w:p>
  </w:footnote>
  <w:footnote w:id="3">
    <w:p w:rsidR="00FB0112" w:rsidRPr="00933978" w:rsidRDefault="00FB0112" w:rsidP="004D5527">
      <w:pPr>
        <w:pStyle w:val="FootnoteText"/>
        <w:rPr>
          <w:rFonts w:ascii="Times New Roman" w:hAnsi="Times New Roman" w:cs="Times New Roman"/>
        </w:rPr>
      </w:pPr>
      <w:r w:rsidRPr="00933978">
        <w:rPr>
          <w:rStyle w:val="FootnoteReference"/>
          <w:rFonts w:ascii="Times New Roman" w:hAnsi="Times New Roman" w:cs="Times New Roman"/>
        </w:rPr>
        <w:footnoteRef/>
      </w:r>
      <w:r w:rsidRPr="00933978">
        <w:rPr>
          <w:rFonts w:ascii="Times New Roman" w:hAnsi="Times New Roman" w:cs="Times New Roman"/>
        </w:rPr>
        <w:t xml:space="preserve"> 2016 Country Report</w:t>
      </w:r>
    </w:p>
  </w:footnote>
  <w:footnote w:id="4">
    <w:p w:rsidR="00FB0112" w:rsidRPr="00933978" w:rsidRDefault="00FB0112" w:rsidP="00933978">
      <w:pPr>
        <w:pStyle w:val="FootnoteText"/>
        <w:rPr>
          <w:rFonts w:ascii="Times New Roman" w:hAnsi="Times New Roman" w:cs="Times New Roman"/>
        </w:rPr>
      </w:pPr>
      <w:r w:rsidRPr="00933978">
        <w:rPr>
          <w:rStyle w:val="FootnoteReference"/>
          <w:rFonts w:ascii="Times New Roman" w:hAnsi="Times New Roman" w:cs="Times New Roman"/>
        </w:rPr>
        <w:footnoteRef/>
      </w:r>
      <w:r w:rsidRPr="00933978">
        <w:rPr>
          <w:rFonts w:ascii="Times New Roman" w:hAnsi="Times New Roman" w:cs="Times New Roman"/>
        </w:rPr>
        <w:t xml:space="preserve"> Sigma assessment, April 2017</w:t>
      </w:r>
      <w:r>
        <w:rPr>
          <w:rFonts w:ascii="Times New Roman" w:hAnsi="Times New Roman" w:cs="Times New Roman"/>
        </w:rPr>
        <w:t xml:space="preserve"> (report to be published in autumn 2017)</w:t>
      </w:r>
    </w:p>
  </w:footnote>
  <w:footnote w:id="5">
    <w:p w:rsidR="00FB0112" w:rsidRPr="003715F4" w:rsidRDefault="00FB0112" w:rsidP="00866D23">
      <w:pPr>
        <w:pStyle w:val="FootnoteText"/>
        <w:rPr>
          <w:rFonts w:ascii="Times New Roman" w:hAnsi="Times New Roman" w:cs="Times New Roman"/>
        </w:rPr>
      </w:pPr>
      <w:r w:rsidRPr="00C73791">
        <w:rPr>
          <w:rStyle w:val="FootnoteReference"/>
          <w:rFonts w:ascii="Times New Roman" w:hAnsi="Times New Roman" w:cs="Times New Roman"/>
        </w:rPr>
        <w:footnoteRef/>
      </w:r>
      <w:r w:rsidRPr="003715F4">
        <w:rPr>
          <w:rFonts w:ascii="Times New Roman" w:hAnsi="Times New Roman" w:cs="Times New Roman"/>
        </w:rPr>
        <w:t xml:space="preserve"> 2016 Country Report of the Commission</w:t>
      </w:r>
    </w:p>
  </w:footnote>
  <w:footnote w:id="6">
    <w:p w:rsidR="00FB0112" w:rsidRPr="00953770" w:rsidRDefault="00FB0112">
      <w:pPr>
        <w:pStyle w:val="FootnoteText"/>
        <w:rPr>
          <w:rFonts w:ascii="Times New Roman" w:hAnsi="Times New Roman" w:cs="Times New Roman"/>
        </w:rPr>
      </w:pPr>
      <w:r w:rsidRPr="00C73791">
        <w:rPr>
          <w:rStyle w:val="FootnoteReference"/>
          <w:rFonts w:ascii="Times New Roman" w:hAnsi="Times New Roman" w:cs="Times New Roman"/>
        </w:rPr>
        <w:footnoteRef/>
      </w:r>
      <w:r w:rsidRPr="00953770">
        <w:rPr>
          <w:rFonts w:ascii="Times New Roman" w:hAnsi="Times New Roman" w:cs="Times New Roman"/>
        </w:rPr>
        <w:t xml:space="preserve"> funded under 2014 EU Integration Facility</w:t>
      </w:r>
    </w:p>
  </w:footnote>
  <w:footnote w:id="7">
    <w:p w:rsidR="00FB0112" w:rsidRPr="00727D56" w:rsidRDefault="00FB0112">
      <w:pPr>
        <w:pStyle w:val="FootnoteText"/>
        <w:rPr>
          <w:rFonts w:ascii="Times New Roman" w:hAnsi="Times New Roman" w:cs="Times New Roman"/>
        </w:rPr>
      </w:pPr>
      <w:r w:rsidRPr="00727D56">
        <w:rPr>
          <w:rStyle w:val="FootnoteReference"/>
          <w:rFonts w:ascii="Times New Roman" w:hAnsi="Times New Roman" w:cs="Times New Roman"/>
        </w:rPr>
        <w:footnoteRef/>
      </w:r>
      <w:r w:rsidRPr="00727D56">
        <w:rPr>
          <w:rFonts w:ascii="Times New Roman" w:hAnsi="Times New Roman" w:cs="Times New Roman"/>
        </w:rPr>
        <w:t xml:space="preserve"> EU Country Report, SIGMA assessments, self assessment in the context of the preparation of the new PAR Strategy</w:t>
      </w:r>
    </w:p>
  </w:footnote>
  <w:footnote w:id="8">
    <w:p w:rsidR="00FB0112" w:rsidRPr="008A445A" w:rsidRDefault="00FB0112" w:rsidP="00727D56">
      <w:pPr>
        <w:pStyle w:val="Reference"/>
        <w:rPr>
          <w:rFonts w:ascii="Times New Roman" w:hAnsi="Times New Roman"/>
          <w:sz w:val="20"/>
          <w:szCs w:val="20"/>
          <w:lang w:val="en-US"/>
        </w:rPr>
      </w:pPr>
      <w:r w:rsidRPr="008A445A">
        <w:rPr>
          <w:rStyle w:val="FootnoteReference"/>
          <w:rFonts w:ascii="Times New Roman" w:hAnsi="Times New Roman"/>
          <w:sz w:val="20"/>
          <w:szCs w:val="20"/>
        </w:rPr>
        <w:footnoteRef/>
      </w:r>
      <w:r w:rsidRPr="008A445A">
        <w:rPr>
          <w:rFonts w:ascii="Times New Roman" w:hAnsi="Times New Roman"/>
          <w:sz w:val="20"/>
          <w:szCs w:val="20"/>
          <w:lang w:val="en-US"/>
        </w:rPr>
        <w:t xml:space="preserve">This is also in line with what stated in the EC </w:t>
      </w:r>
      <w:r>
        <w:rPr>
          <w:rFonts w:ascii="Times New Roman" w:hAnsi="Times New Roman"/>
          <w:sz w:val="20"/>
          <w:szCs w:val="20"/>
          <w:lang w:val="en-US"/>
        </w:rPr>
        <w:t>Country</w:t>
      </w:r>
      <w:r w:rsidRPr="008A445A">
        <w:rPr>
          <w:rFonts w:ascii="Times New Roman" w:hAnsi="Times New Roman"/>
          <w:sz w:val="20"/>
          <w:szCs w:val="20"/>
          <w:lang w:val="en-US"/>
        </w:rPr>
        <w:t xml:space="preserve"> Report 2016: “</w:t>
      </w:r>
      <w:r w:rsidRPr="008A445A">
        <w:rPr>
          <w:rFonts w:ascii="Times New Roman" w:hAnsi="Times New Roman"/>
          <w:i/>
          <w:sz w:val="20"/>
          <w:szCs w:val="20"/>
        </w:rPr>
        <w:t>The Commission that reviews appeals continued to have insufficient capacity to monitor compliance with the requirement for proactive disclosure of information. It needs more integrity and powers to impose penalties to encourage better enforcement of the relevant legislation</w:t>
      </w:r>
      <w:r w:rsidRPr="008A445A">
        <w:rPr>
          <w:rFonts w:ascii="Times New Roman" w:hAnsi="Times New Roman"/>
          <w:sz w:val="20"/>
          <w:szCs w:val="20"/>
        </w:rPr>
        <w:t>”.</w:t>
      </w:r>
    </w:p>
  </w:footnote>
  <w:footnote w:id="9">
    <w:p w:rsidR="00FB0112" w:rsidRPr="00971D22" w:rsidRDefault="00FB0112" w:rsidP="007C4B77">
      <w:pPr>
        <w:pStyle w:val="Reference"/>
        <w:rPr>
          <w:rFonts w:ascii="Times New Roman" w:hAnsi="Times New Roman"/>
          <w:sz w:val="20"/>
          <w:szCs w:val="20"/>
        </w:rPr>
      </w:pPr>
      <w:r w:rsidRPr="00971D22">
        <w:rPr>
          <w:rStyle w:val="FootnoteReference"/>
          <w:rFonts w:ascii="Times New Roman" w:hAnsi="Times New Roman"/>
          <w:sz w:val="20"/>
          <w:szCs w:val="20"/>
        </w:rPr>
        <w:footnoteRef/>
      </w:r>
      <w:hyperlink r:id="rId1" w:history="1">
        <w:r w:rsidRPr="004633B8">
          <w:rPr>
            <w:rStyle w:val="Hyperlink"/>
            <w:rFonts w:ascii="Times New Roman" w:hAnsi="Times New Roman"/>
            <w:sz w:val="20"/>
            <w:szCs w:val="20"/>
          </w:rPr>
          <w:t>http://www.transparency.org/gcb2013/country/?country=macedonia_(fyr)</w:t>
        </w:r>
      </w:hyperlink>
    </w:p>
  </w:footnote>
  <w:footnote w:id="10">
    <w:p w:rsidR="00FB0112" w:rsidRPr="008A445A" w:rsidRDefault="00FB0112" w:rsidP="006630BC">
      <w:pPr>
        <w:pStyle w:val="FootnoteText"/>
        <w:rPr>
          <w:rFonts w:ascii="Times New Roman" w:hAnsi="Times New Roman" w:cs="Times New Roman"/>
        </w:rPr>
      </w:pPr>
      <w:r w:rsidRPr="008A445A">
        <w:rPr>
          <w:rStyle w:val="FootnoteReference"/>
          <w:rFonts w:ascii="Times New Roman" w:hAnsi="Times New Roman" w:cs="Times New Roman"/>
        </w:rPr>
        <w:footnoteRef/>
      </w:r>
      <w:r w:rsidRPr="008A445A">
        <w:rPr>
          <w:rFonts w:ascii="Times New Roman" w:hAnsi="Times New Roman" w:cs="Times New Roman"/>
        </w:rPr>
        <w:t xml:space="preserve"> 2016 Country Report</w:t>
      </w:r>
    </w:p>
  </w:footnote>
  <w:footnote w:id="11">
    <w:p w:rsidR="00FB0112" w:rsidRPr="0088563E" w:rsidRDefault="00FB0112">
      <w:pPr>
        <w:pStyle w:val="Reference"/>
        <w:rPr>
          <w:rFonts w:ascii="Times New Roman" w:hAnsi="Times New Roman"/>
          <w:sz w:val="20"/>
          <w:szCs w:val="20"/>
          <w:lang w:val="en-US"/>
        </w:rPr>
      </w:pPr>
      <w:r w:rsidRPr="0088563E">
        <w:rPr>
          <w:rStyle w:val="FootnoteReference"/>
          <w:rFonts w:ascii="Times New Roman" w:hAnsi="Times New Roman"/>
          <w:sz w:val="20"/>
          <w:szCs w:val="20"/>
        </w:rPr>
        <w:footnoteRef/>
      </w:r>
      <w:r w:rsidRPr="0088563E">
        <w:rPr>
          <w:rFonts w:ascii="Times New Roman" w:hAnsi="Times New Roman"/>
          <w:sz w:val="20"/>
          <w:szCs w:val="20"/>
          <w:lang w:val="en-US"/>
        </w:rPr>
        <w:t xml:space="preserve">Until 2015 there were only 3 grades available. </w:t>
      </w:r>
    </w:p>
  </w:footnote>
  <w:footnote w:id="12">
    <w:p w:rsidR="00FB0112" w:rsidRPr="0088563E" w:rsidRDefault="00FB0112">
      <w:pPr>
        <w:pStyle w:val="Reference"/>
        <w:rPr>
          <w:rFonts w:ascii="Times New Roman" w:hAnsi="Times New Roman"/>
          <w:sz w:val="20"/>
          <w:szCs w:val="20"/>
          <w:lang w:val="en-US"/>
        </w:rPr>
      </w:pPr>
      <w:r w:rsidRPr="0088563E">
        <w:rPr>
          <w:rStyle w:val="FootnoteReference"/>
          <w:rFonts w:ascii="Times New Roman" w:hAnsi="Times New Roman"/>
          <w:sz w:val="20"/>
          <w:szCs w:val="20"/>
        </w:rPr>
        <w:footnoteRef/>
      </w:r>
      <w:r w:rsidRPr="0088563E">
        <w:rPr>
          <w:rFonts w:ascii="Times New Roman" w:hAnsi="Times New Roman"/>
          <w:sz w:val="20"/>
          <w:szCs w:val="20"/>
          <w:lang w:val="en-US"/>
        </w:rPr>
        <w:t>Result 1 in this Action Document</w:t>
      </w:r>
    </w:p>
  </w:footnote>
  <w:footnote w:id="13">
    <w:p w:rsidR="00FB0112" w:rsidRPr="0088563E" w:rsidRDefault="00FB0112">
      <w:pPr>
        <w:pStyle w:val="Reference"/>
        <w:rPr>
          <w:rFonts w:ascii="Times New Roman" w:hAnsi="Times New Roman"/>
          <w:sz w:val="20"/>
          <w:szCs w:val="20"/>
          <w:lang w:val="en-US"/>
        </w:rPr>
      </w:pPr>
      <w:r w:rsidRPr="0088563E">
        <w:rPr>
          <w:rStyle w:val="FootnoteReference"/>
          <w:rFonts w:ascii="Times New Roman" w:hAnsi="Times New Roman"/>
          <w:sz w:val="20"/>
          <w:szCs w:val="20"/>
        </w:rPr>
        <w:footnoteRef/>
      </w:r>
      <w:r w:rsidRPr="0088563E">
        <w:rPr>
          <w:rFonts w:ascii="Times New Roman" w:hAnsi="Times New Roman"/>
          <w:sz w:val="20"/>
          <w:szCs w:val="20"/>
          <w:lang w:val="en-US"/>
        </w:rPr>
        <w:t>Result 2.1 in this Action Document</w:t>
      </w:r>
    </w:p>
  </w:footnote>
  <w:footnote w:id="14">
    <w:p w:rsidR="00FB0112" w:rsidRPr="0088563E" w:rsidRDefault="00FB0112">
      <w:pPr>
        <w:pStyle w:val="Reference"/>
        <w:rPr>
          <w:rStyle w:val="Emphasis"/>
          <w:rFonts w:ascii="Times New Roman" w:hAnsi="Times New Roman"/>
          <w:i w:val="0"/>
          <w:sz w:val="20"/>
          <w:szCs w:val="20"/>
        </w:rPr>
      </w:pPr>
      <w:r w:rsidRPr="0088563E">
        <w:rPr>
          <w:rStyle w:val="FootnoteReference"/>
          <w:rFonts w:ascii="Times New Roman" w:hAnsi="Times New Roman"/>
          <w:iCs/>
          <w:sz w:val="20"/>
          <w:szCs w:val="20"/>
        </w:rPr>
        <w:footnoteRef/>
      </w:r>
      <w:r w:rsidRPr="0088563E">
        <w:rPr>
          <w:rStyle w:val="Emphasis"/>
          <w:rFonts w:ascii="Times New Roman" w:hAnsi="Times New Roman"/>
          <w:i w:val="0"/>
          <w:sz w:val="20"/>
          <w:szCs w:val="20"/>
        </w:rPr>
        <w:t xml:space="preserve"> Annual report on the data from the public sector employees register</w:t>
      </w:r>
    </w:p>
  </w:footnote>
  <w:footnote w:id="15">
    <w:p w:rsidR="00FB0112" w:rsidRPr="0088563E" w:rsidRDefault="00FB0112">
      <w:pPr>
        <w:pStyle w:val="Reference"/>
        <w:rPr>
          <w:rFonts w:ascii="Times New Roman" w:hAnsi="Times New Roman"/>
          <w:sz w:val="20"/>
          <w:szCs w:val="20"/>
          <w:lang w:val="en-US"/>
        </w:rPr>
      </w:pPr>
      <w:r w:rsidRPr="0088563E">
        <w:rPr>
          <w:rStyle w:val="FootnoteReference"/>
          <w:rFonts w:ascii="Times New Roman" w:hAnsi="Times New Roman"/>
          <w:sz w:val="20"/>
          <w:szCs w:val="20"/>
        </w:rPr>
        <w:footnoteRef/>
      </w:r>
      <w:r w:rsidRPr="0088563E">
        <w:rPr>
          <w:rFonts w:ascii="Times New Roman" w:hAnsi="Times New Roman"/>
          <w:sz w:val="20"/>
          <w:szCs w:val="20"/>
        </w:rPr>
        <w:t xml:space="preserve"> Among Albanian, Turks and Roma the ratio of women employed in the public sector is approximately 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B-BIG"/>
      </v:shape>
    </w:pict>
  </w:numPicBullet>
  <w:abstractNum w:abstractNumId="0">
    <w:nsid w:val="01E72F46"/>
    <w:multiLevelType w:val="hybridMultilevel"/>
    <w:tmpl w:val="90A23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2">
    <w:nsid w:val="085C5F81"/>
    <w:multiLevelType w:val="hybridMultilevel"/>
    <w:tmpl w:val="4C56D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617DE"/>
    <w:multiLevelType w:val="hybridMultilevel"/>
    <w:tmpl w:val="9F48225C"/>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8F13072"/>
    <w:multiLevelType w:val="hybridMultilevel"/>
    <w:tmpl w:val="8B4A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5D4ACC"/>
    <w:multiLevelType w:val="hybridMultilevel"/>
    <w:tmpl w:val="E6AAAA02"/>
    <w:lvl w:ilvl="0" w:tplc="5628B26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7">
    <w:nsid w:val="0D37289C"/>
    <w:multiLevelType w:val="hybridMultilevel"/>
    <w:tmpl w:val="52BEB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995E0E"/>
    <w:multiLevelType w:val="hybridMultilevel"/>
    <w:tmpl w:val="101A244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0">
    <w:nsid w:val="13E4330B"/>
    <w:multiLevelType w:val="multilevel"/>
    <w:tmpl w:val="875C4416"/>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B0E1DE9"/>
    <w:multiLevelType w:val="hybridMultilevel"/>
    <w:tmpl w:val="8B4A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3">
    <w:nsid w:val="1C1B7E75"/>
    <w:multiLevelType w:val="hybridMultilevel"/>
    <w:tmpl w:val="2382793E"/>
    <w:lvl w:ilvl="0" w:tplc="B596BB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58121B"/>
    <w:multiLevelType w:val="hybridMultilevel"/>
    <w:tmpl w:val="03AC41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C54978"/>
    <w:multiLevelType w:val="hybridMultilevel"/>
    <w:tmpl w:val="931E6B1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1EC777BE"/>
    <w:multiLevelType w:val="hybridMultilevel"/>
    <w:tmpl w:val="2370FBF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371C06"/>
    <w:multiLevelType w:val="hybridMultilevel"/>
    <w:tmpl w:val="11F063B0"/>
    <w:lvl w:ilvl="0" w:tplc="C93A30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1FA35EE"/>
    <w:multiLevelType w:val="hybridMultilevel"/>
    <w:tmpl w:val="70A25E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38D11F0"/>
    <w:multiLevelType w:val="hybridMultilevel"/>
    <w:tmpl w:val="A45A99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EF35E2"/>
    <w:multiLevelType w:val="hybridMultilevel"/>
    <w:tmpl w:val="C8A06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A967148"/>
    <w:multiLevelType w:val="hybridMultilevel"/>
    <w:tmpl w:val="71483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23">
    <w:nsid w:val="2E63524A"/>
    <w:multiLevelType w:val="hybridMultilevel"/>
    <w:tmpl w:val="6F9AD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02C520F"/>
    <w:multiLevelType w:val="hybridMultilevel"/>
    <w:tmpl w:val="9B347E8E"/>
    <w:lvl w:ilvl="0" w:tplc="2278D036">
      <w:start w:val="1"/>
      <w:numFmt w:val="bullet"/>
      <w:lvlText w:val=""/>
      <w:lvlPicBulletId w:val="0"/>
      <w:lvlJc w:val="left"/>
      <w:pPr>
        <w:ind w:left="720" w:hanging="360"/>
      </w:pPr>
      <w:rPr>
        <w:rFonts w:ascii="Symbol" w:eastAsia="Times New Roman" w:hAnsi="Symbol" w:cs="Times New Roman"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CD398A"/>
    <w:multiLevelType w:val="singleLevel"/>
    <w:tmpl w:val="0276BF00"/>
    <w:name w:val="List Dash 4"/>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7">
    <w:nsid w:val="336B4AC7"/>
    <w:multiLevelType w:val="hybridMultilevel"/>
    <w:tmpl w:val="00B462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44D3117"/>
    <w:multiLevelType w:val="hybridMultilevel"/>
    <w:tmpl w:val="0700DC54"/>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65507F6"/>
    <w:multiLevelType w:val="hybridMultilevel"/>
    <w:tmpl w:val="4C36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8C015E"/>
    <w:multiLevelType w:val="multilevel"/>
    <w:tmpl w:val="027A66BA"/>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E620839"/>
    <w:multiLevelType w:val="hybridMultilevel"/>
    <w:tmpl w:val="3CC0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FA26507"/>
    <w:multiLevelType w:val="hybridMultilevel"/>
    <w:tmpl w:val="F2B6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FB845C3"/>
    <w:multiLevelType w:val="hybridMultilevel"/>
    <w:tmpl w:val="01FA383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07D4345"/>
    <w:multiLevelType w:val="hybridMultilevel"/>
    <w:tmpl w:val="F62816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15B7EDE"/>
    <w:multiLevelType w:val="singleLevel"/>
    <w:tmpl w:val="92264878"/>
    <w:name w:val="Tiret 4"/>
    <w:lvl w:ilvl="0">
      <w:start w:val="1"/>
      <w:numFmt w:val="bullet"/>
      <w:lvlRestart w:val="0"/>
      <w:pStyle w:val="Tiret4"/>
      <w:lvlText w:val="–"/>
      <w:lvlJc w:val="left"/>
      <w:pPr>
        <w:tabs>
          <w:tab w:val="num" w:pos="3118"/>
        </w:tabs>
        <w:ind w:left="3118" w:hanging="567"/>
      </w:pPr>
    </w:lvl>
  </w:abstractNum>
  <w:abstractNum w:abstractNumId="36">
    <w:nsid w:val="42074C22"/>
    <w:multiLevelType w:val="hybridMultilevel"/>
    <w:tmpl w:val="E890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293032"/>
    <w:multiLevelType w:val="hybridMultilevel"/>
    <w:tmpl w:val="195407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nsid w:val="43A85611"/>
    <w:multiLevelType w:val="multilevel"/>
    <w:tmpl w:val="18667D1A"/>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5087C84"/>
    <w:multiLevelType w:val="hybridMultilevel"/>
    <w:tmpl w:val="5EF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7D15166"/>
    <w:multiLevelType w:val="hybridMultilevel"/>
    <w:tmpl w:val="169815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8356A9B"/>
    <w:multiLevelType w:val="hybridMultilevel"/>
    <w:tmpl w:val="8B4A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83A1A36"/>
    <w:multiLevelType w:val="hybridMultilevel"/>
    <w:tmpl w:val="FF6EEA3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44">
    <w:nsid w:val="48E25A54"/>
    <w:multiLevelType w:val="hybridMultilevel"/>
    <w:tmpl w:val="06C29F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46">
    <w:nsid w:val="4EAD0BB6"/>
    <w:multiLevelType w:val="hybridMultilevel"/>
    <w:tmpl w:val="F5740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F1A5EEB"/>
    <w:multiLevelType w:val="singleLevel"/>
    <w:tmpl w:val="E90C02CE"/>
    <w:name w:val="Tiret 1"/>
    <w:lvl w:ilvl="0">
      <w:start w:val="1"/>
      <w:numFmt w:val="bullet"/>
      <w:lvlRestart w:val="0"/>
      <w:pStyle w:val="Tiret1"/>
      <w:lvlText w:val="–"/>
      <w:lvlJc w:val="left"/>
      <w:pPr>
        <w:tabs>
          <w:tab w:val="num" w:pos="1417"/>
        </w:tabs>
        <w:ind w:left="1417" w:hanging="567"/>
      </w:pPr>
    </w:lvl>
  </w:abstractNum>
  <w:abstractNum w:abstractNumId="48">
    <w:nsid w:val="4F6D3BBD"/>
    <w:multiLevelType w:val="hybridMultilevel"/>
    <w:tmpl w:val="301E4D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1FD2C96"/>
    <w:multiLevelType w:val="hybridMultilevel"/>
    <w:tmpl w:val="8B4A2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nsid w:val="56D61C25"/>
    <w:multiLevelType w:val="hybridMultilevel"/>
    <w:tmpl w:val="BD7E3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6FD77B7"/>
    <w:multiLevelType w:val="hybridMultilevel"/>
    <w:tmpl w:val="CDD6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710404C"/>
    <w:multiLevelType w:val="hybridMultilevel"/>
    <w:tmpl w:val="CCD6C11A"/>
    <w:lvl w:ilvl="0" w:tplc="ABF0B256">
      <w:numFmt w:val="bullet"/>
      <w:lvlText w:val="-"/>
      <w:lvlJc w:val="left"/>
      <w:pPr>
        <w:ind w:left="2880" w:hanging="360"/>
      </w:pPr>
      <w:rPr>
        <w:rFonts w:ascii="Times New Roman" w:eastAsia="Arial Unicode MS"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4">
    <w:nsid w:val="5AF823DB"/>
    <w:multiLevelType w:val="multilevel"/>
    <w:tmpl w:val="8ABCF822"/>
    <w:lvl w:ilvl="0">
      <w:start w:val="1"/>
      <w:numFmt w:val="decimal"/>
      <w:lvlRestart w:val="0"/>
      <w:lvlText w:val="%1."/>
      <w:lvlJc w:val="left"/>
      <w:pPr>
        <w:tabs>
          <w:tab w:val="num" w:pos="992"/>
        </w:tabs>
        <w:ind w:left="992" w:hanging="850"/>
      </w:pPr>
    </w:lvl>
    <w:lvl w:ilvl="1">
      <w:start w:val="1"/>
      <w:numFmt w:val="decimal"/>
      <w:pStyle w:val="Heading2"/>
      <w:lvlText w:val="%1.%2."/>
      <w:lvlJc w:val="left"/>
      <w:pPr>
        <w:tabs>
          <w:tab w:val="num" w:pos="992"/>
        </w:tabs>
        <w:ind w:left="992" w:hanging="850"/>
      </w:pPr>
    </w:lvl>
    <w:lvl w:ilvl="2">
      <w:start w:val="1"/>
      <w:numFmt w:val="decimal"/>
      <w:pStyle w:val="Heading3"/>
      <w:lvlText w:val="%1.%2.%3."/>
      <w:lvlJc w:val="left"/>
      <w:pPr>
        <w:tabs>
          <w:tab w:val="num" w:pos="992"/>
        </w:tabs>
        <w:ind w:left="992" w:hanging="850"/>
      </w:pPr>
    </w:lvl>
    <w:lvl w:ilvl="3">
      <w:start w:val="1"/>
      <w:numFmt w:val="decimal"/>
      <w:pStyle w:val="Heading4"/>
      <w:lvlText w:val="%1.%2.%3.%4."/>
      <w:lvlJc w:val="left"/>
      <w:pPr>
        <w:tabs>
          <w:tab w:val="num" w:pos="992"/>
        </w:tabs>
        <w:ind w:left="992" w:hanging="850"/>
      </w:pPr>
    </w:lvl>
    <w:lvl w:ilvl="4">
      <w:start w:val="1"/>
      <w:numFmt w:val="lowerLetter"/>
      <w:lvlText w:val="(%5)"/>
      <w:lvlJc w:val="left"/>
      <w:pPr>
        <w:tabs>
          <w:tab w:val="num" w:pos="1942"/>
        </w:tabs>
        <w:ind w:left="1942" w:hanging="360"/>
      </w:pPr>
    </w:lvl>
    <w:lvl w:ilvl="5">
      <w:start w:val="1"/>
      <w:numFmt w:val="lowerRoman"/>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lowerLetter"/>
      <w:lvlText w:val="%8."/>
      <w:lvlJc w:val="left"/>
      <w:pPr>
        <w:tabs>
          <w:tab w:val="num" w:pos="3022"/>
        </w:tabs>
        <w:ind w:left="3022" w:hanging="360"/>
      </w:pPr>
    </w:lvl>
    <w:lvl w:ilvl="8">
      <w:start w:val="1"/>
      <w:numFmt w:val="lowerRoman"/>
      <w:lvlText w:val="%9."/>
      <w:lvlJc w:val="left"/>
      <w:pPr>
        <w:tabs>
          <w:tab w:val="num" w:pos="3382"/>
        </w:tabs>
        <w:ind w:left="3382" w:hanging="360"/>
      </w:pPr>
    </w:lvl>
  </w:abstractNum>
  <w:abstractNum w:abstractNumId="55">
    <w:nsid w:val="5B0B0635"/>
    <w:multiLevelType w:val="singleLevel"/>
    <w:tmpl w:val="017E7CEE"/>
    <w:name w:val="List Bullet 4"/>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56">
    <w:nsid w:val="5CE04308"/>
    <w:multiLevelType w:val="hybridMultilevel"/>
    <w:tmpl w:val="7F0204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D513A36"/>
    <w:multiLevelType w:val="multilevel"/>
    <w:tmpl w:val="DD62A18C"/>
    <w:lvl w:ilvl="0">
      <w:start w:val="2"/>
      <w:numFmt w:val="decimal"/>
      <w:lvlText w:val="%1"/>
      <w:lvlJc w:val="left"/>
      <w:pPr>
        <w:tabs>
          <w:tab w:val="num" w:pos="432"/>
        </w:tabs>
        <w:ind w:left="432" w:hanging="432"/>
      </w:pPr>
      <w:rPr>
        <w:rFonts w:hint="default"/>
      </w:rPr>
    </w:lvl>
    <w:lvl w:ilvl="1">
      <w:start w:val="1"/>
      <w:numFmt w:val="decimal"/>
      <w:pStyle w:val="NormalIndent1"/>
      <w:lvlText w:val="3.%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5DF84969"/>
    <w:multiLevelType w:val="singleLevel"/>
    <w:tmpl w:val="1E12021A"/>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59">
    <w:nsid w:val="60295769"/>
    <w:multiLevelType w:val="hybridMultilevel"/>
    <w:tmpl w:val="45AC6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3D52FBC"/>
    <w:multiLevelType w:val="hybridMultilevel"/>
    <w:tmpl w:val="FA04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5AE0608"/>
    <w:multiLevelType w:val="hybridMultilevel"/>
    <w:tmpl w:val="FCB6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69A5E67"/>
    <w:multiLevelType w:val="hybridMultilevel"/>
    <w:tmpl w:val="C73CBD62"/>
    <w:lvl w:ilvl="0" w:tplc="845AFA3C">
      <w:start w:val="1"/>
      <w:numFmt w:val="bullet"/>
      <w:lvlText w:val=""/>
      <w:lvlJc w:val="left"/>
      <w:pPr>
        <w:tabs>
          <w:tab w:val="num" w:pos="432"/>
        </w:tabs>
        <w:ind w:left="-72" w:firstLine="14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3">
    <w:nsid w:val="696C278A"/>
    <w:multiLevelType w:val="singleLevel"/>
    <w:tmpl w:val="443639EC"/>
    <w:name w:val="Tiret 0"/>
    <w:lvl w:ilvl="0">
      <w:start w:val="1"/>
      <w:numFmt w:val="bullet"/>
      <w:lvlRestart w:val="0"/>
      <w:pStyle w:val="Tiret0"/>
      <w:lvlText w:val="–"/>
      <w:lvlJc w:val="left"/>
      <w:pPr>
        <w:tabs>
          <w:tab w:val="num" w:pos="850"/>
        </w:tabs>
        <w:ind w:left="850" w:hanging="850"/>
      </w:pPr>
    </w:lvl>
  </w:abstractNum>
  <w:abstractNum w:abstractNumId="64">
    <w:nsid w:val="71F06166"/>
    <w:multiLevelType w:val="multilevel"/>
    <w:tmpl w:val="C08066D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72587790"/>
    <w:multiLevelType w:val="hybridMultilevel"/>
    <w:tmpl w:val="3F343B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D73F7A"/>
    <w:multiLevelType w:val="singleLevel"/>
    <w:tmpl w:val="26365734"/>
    <w:name w:val="List Bullet 2"/>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67">
    <w:nsid w:val="74CC130F"/>
    <w:multiLevelType w:val="hybridMultilevel"/>
    <w:tmpl w:val="9D14B9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6BC5C11"/>
    <w:multiLevelType w:val="singleLevel"/>
    <w:tmpl w:val="E44CE82E"/>
    <w:name w:val="List Bullet 3"/>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69">
    <w:nsid w:val="76D645DC"/>
    <w:multiLevelType w:val="multilevel"/>
    <w:tmpl w:val="ADDE9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
    <w:nsid w:val="7BD57C1E"/>
    <w:multiLevelType w:val="hybridMultilevel"/>
    <w:tmpl w:val="BC42CD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7E474D4E"/>
    <w:multiLevelType w:val="singleLevel"/>
    <w:tmpl w:val="1A6608A0"/>
    <w:name w:val="Considérant"/>
    <w:lvl w:ilvl="0">
      <w:start w:val="1"/>
      <w:numFmt w:val="decimal"/>
      <w:lvlRestart w:val="0"/>
      <w:pStyle w:val="Considrant"/>
      <w:lvlText w:val="(%1)"/>
      <w:lvlJc w:val="left"/>
      <w:pPr>
        <w:tabs>
          <w:tab w:val="num" w:pos="709"/>
        </w:tabs>
        <w:ind w:left="709" w:hanging="709"/>
      </w:pPr>
    </w:lvl>
  </w:abstractNum>
  <w:abstractNum w:abstractNumId="72">
    <w:nsid w:val="7F9A076D"/>
    <w:multiLevelType w:val="multilevel"/>
    <w:tmpl w:val="7F9A076D"/>
    <w:lvl w:ilvl="0">
      <w:start w:val="1"/>
      <w:numFmt w:val="decimal"/>
      <w:lvlText w:val="%1."/>
      <w:lvlJc w:val="left"/>
      <w:pPr>
        <w:ind w:left="780" w:hanging="360"/>
      </w:pPr>
      <w:rPr>
        <w:rFonts w:ascii="Times New Roman" w:hAnsi="Times New Roman" w:cs="Times New Roman" w:hint="default"/>
      </w:rPr>
    </w:lvl>
    <w:lvl w:ilvl="1">
      <w:start w:val="1"/>
      <w:numFmt w:val="bullet"/>
      <w:lvlText w:val=""/>
      <w:lvlJc w:val="left"/>
      <w:pPr>
        <w:tabs>
          <w:tab w:val="num" w:pos="1500"/>
        </w:tabs>
        <w:ind w:left="1500" w:hanging="360"/>
      </w:pPr>
      <w:rPr>
        <w:rFonts w:ascii="Symbol" w:hAnsi="Symbol" w:cs="Symbol" w:hint="default"/>
        <w:color w:val="auto"/>
      </w:rPr>
    </w:lvl>
    <w:lvl w:ilvl="2">
      <w:start w:val="1"/>
      <w:numFmt w:val="lowerRoman"/>
      <w:lvlText w:val="%3."/>
      <w:lvlJc w:val="right"/>
      <w:pPr>
        <w:ind w:left="2220" w:hanging="180"/>
      </w:pPr>
    </w:lvl>
    <w:lvl w:ilvl="3">
      <w:start w:val="1"/>
      <w:numFmt w:val="decimal"/>
      <w:lvlText w:val="%4."/>
      <w:lvlJc w:val="left"/>
      <w:pPr>
        <w:ind w:left="1211"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71"/>
  </w:num>
  <w:num w:numId="2">
    <w:abstractNumId w:val="54"/>
  </w:num>
  <w:num w:numId="3">
    <w:abstractNumId w:val="58"/>
  </w:num>
  <w:num w:numId="4">
    <w:abstractNumId w:val="1"/>
  </w:num>
  <w:num w:numId="5">
    <w:abstractNumId w:val="66"/>
  </w:num>
  <w:num w:numId="6">
    <w:abstractNumId w:val="68"/>
  </w:num>
  <w:num w:numId="7">
    <w:abstractNumId w:val="55"/>
  </w:num>
  <w:num w:numId="8">
    <w:abstractNumId w:val="22"/>
  </w:num>
  <w:num w:numId="9">
    <w:abstractNumId w:val="45"/>
  </w:num>
  <w:num w:numId="10">
    <w:abstractNumId w:val="43"/>
  </w:num>
  <w:num w:numId="11">
    <w:abstractNumId w:val="9"/>
  </w:num>
  <w:num w:numId="12">
    <w:abstractNumId w:val="26"/>
  </w:num>
  <w:num w:numId="13">
    <w:abstractNumId w:val="64"/>
  </w:num>
  <w:num w:numId="14">
    <w:abstractNumId w:val="10"/>
  </w:num>
  <w:num w:numId="15">
    <w:abstractNumId w:val="30"/>
  </w:num>
  <w:num w:numId="16">
    <w:abstractNumId w:val="24"/>
  </w:num>
  <w:num w:numId="17">
    <w:abstractNumId w:val="50"/>
  </w:num>
  <w:num w:numId="18">
    <w:abstractNumId w:val="38"/>
  </w:num>
  <w:num w:numId="19">
    <w:abstractNumId w:val="63"/>
  </w:num>
  <w:num w:numId="20">
    <w:abstractNumId w:val="47"/>
  </w:num>
  <w:num w:numId="21">
    <w:abstractNumId w:val="6"/>
  </w:num>
  <w:num w:numId="22">
    <w:abstractNumId w:val="12"/>
  </w:num>
  <w:num w:numId="23">
    <w:abstractNumId w:val="35"/>
  </w:num>
  <w:num w:numId="24">
    <w:abstractNumId w:val="57"/>
  </w:num>
  <w:num w:numId="25">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6"/>
  </w:num>
  <w:num w:numId="28">
    <w:abstractNumId w:val="44"/>
  </w:num>
  <w:num w:numId="29">
    <w:abstractNumId w:val="65"/>
  </w:num>
  <w:num w:numId="30">
    <w:abstractNumId w:val="67"/>
  </w:num>
  <w:num w:numId="31">
    <w:abstractNumId w:val="19"/>
  </w:num>
  <w:num w:numId="32">
    <w:abstractNumId w:val="60"/>
  </w:num>
  <w:num w:numId="33">
    <w:abstractNumId w:val="39"/>
  </w:num>
  <w:num w:numId="34">
    <w:abstractNumId w:val="52"/>
  </w:num>
  <w:num w:numId="35">
    <w:abstractNumId w:val="0"/>
  </w:num>
  <w:num w:numId="36">
    <w:abstractNumId w:val="46"/>
  </w:num>
  <w:num w:numId="37">
    <w:abstractNumId w:val="69"/>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9"/>
  </w:num>
  <w:num w:numId="51">
    <w:abstractNumId w:val="53"/>
  </w:num>
  <w:num w:numId="52">
    <w:abstractNumId w:val="44"/>
  </w:num>
  <w:num w:numId="53">
    <w:abstractNumId w:val="29"/>
  </w:num>
  <w:num w:numId="54">
    <w:abstractNumId w:val="37"/>
  </w:num>
  <w:num w:numId="55">
    <w:abstractNumId w:val="31"/>
  </w:num>
  <w:num w:numId="56">
    <w:abstractNumId w:val="7"/>
  </w:num>
  <w:num w:numId="57">
    <w:abstractNumId w:val="29"/>
  </w:num>
  <w:num w:numId="58">
    <w:abstractNumId w:val="32"/>
  </w:num>
  <w:num w:numId="59">
    <w:abstractNumId w:val="28"/>
  </w:num>
  <w:num w:numId="60">
    <w:abstractNumId w:val="18"/>
  </w:num>
  <w:num w:numId="61">
    <w:abstractNumId w:val="3"/>
  </w:num>
  <w:num w:numId="62">
    <w:abstractNumId w:val="34"/>
  </w:num>
  <w:num w:numId="63">
    <w:abstractNumId w:val="42"/>
  </w:num>
  <w:num w:numId="64">
    <w:abstractNumId w:val="48"/>
  </w:num>
  <w:num w:numId="65">
    <w:abstractNumId w:val="8"/>
  </w:num>
  <w:num w:numId="66">
    <w:abstractNumId w:val="25"/>
  </w:num>
  <w:num w:numId="67">
    <w:abstractNumId w:val="62"/>
  </w:num>
  <w:num w:numId="68">
    <w:abstractNumId w:val="17"/>
  </w:num>
  <w:num w:numId="69">
    <w:abstractNumId w:val="36"/>
  </w:num>
  <w:num w:numId="70">
    <w:abstractNumId w:val="61"/>
  </w:num>
  <w:num w:numId="71">
    <w:abstractNumId w:val="23"/>
  </w:num>
  <w:num w:numId="72">
    <w:abstractNumId w:val="51"/>
  </w:num>
  <w:num w:numId="73">
    <w:abstractNumId w:val="70"/>
  </w:num>
  <w:num w:numId="74">
    <w:abstractNumId w:val="49"/>
  </w:num>
  <w:num w:numId="75">
    <w:abstractNumId w:val="41"/>
  </w:num>
  <w:num w:numId="76">
    <w:abstractNumId w:val="21"/>
  </w:num>
  <w:num w:numId="77">
    <w:abstractNumId w:val="5"/>
  </w:num>
  <w:num w:numId="78">
    <w:abstractNumId w:val="15"/>
  </w:num>
  <w:num w:numId="79">
    <w:abstractNumId w:val="40"/>
  </w:num>
  <w:num w:numId="80">
    <w:abstractNumId w:val="33"/>
  </w:num>
  <w:num w:numId="81">
    <w:abstractNumId w:val="56"/>
  </w:num>
  <w:num w:numId="82">
    <w:abstractNumId w:val="20"/>
  </w:num>
  <w:num w:numId="83">
    <w:abstractNumId w:val="14"/>
  </w:num>
  <w:num w:numId="84">
    <w:abstractNumId w:val="27"/>
  </w:num>
  <w:num w:numId="85">
    <w:abstractNumId w:val="13"/>
  </w:num>
  <w:num w:numId="86">
    <w:abstractNumId w:val="2"/>
  </w:num>
  <w:numIdMacAtCleanup w:val="7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oslav Grozdanovski">
    <w15:presenceInfo w15:providerId="AD" w15:userId="S-1-5-21-557468170-2603759712-1381197411-44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4098">
      <o:colormru v:ext="edit" colors="#09064a"/>
    </o:shapedefaults>
  </w:hdrShapeDefaults>
  <w:footnotePr>
    <w:numRestart w:val="eachSect"/>
    <w:footnote w:id="0"/>
    <w:footnote w:id="1"/>
    <w:footnote w:id="2"/>
  </w:footnotePr>
  <w:endnotePr>
    <w:endnote w:id="0"/>
    <w:endnote w:id="1"/>
    <w:endnote w:id="2"/>
  </w:endnotePr>
  <w:compat/>
  <w:docVars>
    <w:docVar w:name="LW_DocType" w:val="NORMAL"/>
  </w:docVars>
  <w:rsids>
    <w:rsidRoot w:val="00252DA0"/>
    <w:rsid w:val="00003180"/>
    <w:rsid w:val="00005719"/>
    <w:rsid w:val="000137D0"/>
    <w:rsid w:val="00013E49"/>
    <w:rsid w:val="00014DD2"/>
    <w:rsid w:val="00017703"/>
    <w:rsid w:val="00017BA1"/>
    <w:rsid w:val="00017EF6"/>
    <w:rsid w:val="00020CE1"/>
    <w:rsid w:val="0002225D"/>
    <w:rsid w:val="0003550D"/>
    <w:rsid w:val="0004385B"/>
    <w:rsid w:val="0004580A"/>
    <w:rsid w:val="000525E4"/>
    <w:rsid w:val="00054A9A"/>
    <w:rsid w:val="000552CA"/>
    <w:rsid w:val="00057ED2"/>
    <w:rsid w:val="0006011E"/>
    <w:rsid w:val="00060FA5"/>
    <w:rsid w:val="0006430D"/>
    <w:rsid w:val="00081DD8"/>
    <w:rsid w:val="00085D5E"/>
    <w:rsid w:val="000924B7"/>
    <w:rsid w:val="00093696"/>
    <w:rsid w:val="00096194"/>
    <w:rsid w:val="0009720E"/>
    <w:rsid w:val="000A3549"/>
    <w:rsid w:val="000B240A"/>
    <w:rsid w:val="000B274E"/>
    <w:rsid w:val="000C15CD"/>
    <w:rsid w:val="000C5802"/>
    <w:rsid w:val="000D33DF"/>
    <w:rsid w:val="000E0551"/>
    <w:rsid w:val="000E6686"/>
    <w:rsid w:val="000F59C8"/>
    <w:rsid w:val="00104C87"/>
    <w:rsid w:val="00110FC4"/>
    <w:rsid w:val="001134E1"/>
    <w:rsid w:val="001135C3"/>
    <w:rsid w:val="001151EB"/>
    <w:rsid w:val="001300DC"/>
    <w:rsid w:val="00131844"/>
    <w:rsid w:val="001432D1"/>
    <w:rsid w:val="00166EDC"/>
    <w:rsid w:val="00174E34"/>
    <w:rsid w:val="0017600A"/>
    <w:rsid w:val="00185F44"/>
    <w:rsid w:val="00194BE0"/>
    <w:rsid w:val="001A7001"/>
    <w:rsid w:val="001A7E77"/>
    <w:rsid w:val="001B445F"/>
    <w:rsid w:val="001B7B30"/>
    <w:rsid w:val="001C1C90"/>
    <w:rsid w:val="001C3D6C"/>
    <w:rsid w:val="001E0E77"/>
    <w:rsid w:val="001E245E"/>
    <w:rsid w:val="001E6217"/>
    <w:rsid w:val="001E65B8"/>
    <w:rsid w:val="001E65F9"/>
    <w:rsid w:val="001F23DE"/>
    <w:rsid w:val="001F2A31"/>
    <w:rsid w:val="00207F80"/>
    <w:rsid w:val="0021218C"/>
    <w:rsid w:val="00221207"/>
    <w:rsid w:val="00222AFA"/>
    <w:rsid w:val="002358B9"/>
    <w:rsid w:val="00251CB1"/>
    <w:rsid w:val="00252DA0"/>
    <w:rsid w:val="00262F63"/>
    <w:rsid w:val="002715BE"/>
    <w:rsid w:val="00273DC5"/>
    <w:rsid w:val="0027604C"/>
    <w:rsid w:val="002813AA"/>
    <w:rsid w:val="002851C7"/>
    <w:rsid w:val="002863DF"/>
    <w:rsid w:val="002964D5"/>
    <w:rsid w:val="00296FBD"/>
    <w:rsid w:val="002A6A69"/>
    <w:rsid w:val="002B0E3B"/>
    <w:rsid w:val="002B1DF5"/>
    <w:rsid w:val="002C0AE0"/>
    <w:rsid w:val="002C1030"/>
    <w:rsid w:val="002C2C02"/>
    <w:rsid w:val="002C3ABC"/>
    <w:rsid w:val="002C5BB3"/>
    <w:rsid w:val="002C5DA3"/>
    <w:rsid w:val="002C7925"/>
    <w:rsid w:val="002D1346"/>
    <w:rsid w:val="002D5ED4"/>
    <w:rsid w:val="002E03C1"/>
    <w:rsid w:val="002E1587"/>
    <w:rsid w:val="002E3297"/>
    <w:rsid w:val="002E6F2B"/>
    <w:rsid w:val="0032328F"/>
    <w:rsid w:val="00323A52"/>
    <w:rsid w:val="00334EDC"/>
    <w:rsid w:val="00340274"/>
    <w:rsid w:val="0034414D"/>
    <w:rsid w:val="00346AC4"/>
    <w:rsid w:val="00351426"/>
    <w:rsid w:val="00354E9F"/>
    <w:rsid w:val="00355A82"/>
    <w:rsid w:val="00356E04"/>
    <w:rsid w:val="00356FFC"/>
    <w:rsid w:val="0037596C"/>
    <w:rsid w:val="00384F91"/>
    <w:rsid w:val="0039100D"/>
    <w:rsid w:val="003949B2"/>
    <w:rsid w:val="00395C28"/>
    <w:rsid w:val="003A0E08"/>
    <w:rsid w:val="003B567A"/>
    <w:rsid w:val="003B58DF"/>
    <w:rsid w:val="003D33A9"/>
    <w:rsid w:val="003E0D08"/>
    <w:rsid w:val="003E4FF3"/>
    <w:rsid w:val="003E6DE0"/>
    <w:rsid w:val="003E7919"/>
    <w:rsid w:val="003E79E0"/>
    <w:rsid w:val="0040072C"/>
    <w:rsid w:val="00402EDA"/>
    <w:rsid w:val="0040645D"/>
    <w:rsid w:val="00407890"/>
    <w:rsid w:val="0041332E"/>
    <w:rsid w:val="00417014"/>
    <w:rsid w:val="00421E05"/>
    <w:rsid w:val="00425074"/>
    <w:rsid w:val="00436325"/>
    <w:rsid w:val="0045044B"/>
    <w:rsid w:val="0047065B"/>
    <w:rsid w:val="00471BDB"/>
    <w:rsid w:val="00471CA6"/>
    <w:rsid w:val="00472FC2"/>
    <w:rsid w:val="00476363"/>
    <w:rsid w:val="00480921"/>
    <w:rsid w:val="004817A8"/>
    <w:rsid w:val="004820EA"/>
    <w:rsid w:val="0048258E"/>
    <w:rsid w:val="00484A66"/>
    <w:rsid w:val="00484D06"/>
    <w:rsid w:val="004939A2"/>
    <w:rsid w:val="00496927"/>
    <w:rsid w:val="004B3FD0"/>
    <w:rsid w:val="004B6E64"/>
    <w:rsid w:val="004C7780"/>
    <w:rsid w:val="004D07D5"/>
    <w:rsid w:val="004D1419"/>
    <w:rsid w:val="004D356B"/>
    <w:rsid w:val="004D5527"/>
    <w:rsid w:val="004E1C8C"/>
    <w:rsid w:val="004E454A"/>
    <w:rsid w:val="004E65A6"/>
    <w:rsid w:val="004E7142"/>
    <w:rsid w:val="004E7485"/>
    <w:rsid w:val="004F2591"/>
    <w:rsid w:val="004F2BAB"/>
    <w:rsid w:val="004F303F"/>
    <w:rsid w:val="00510967"/>
    <w:rsid w:val="005146A3"/>
    <w:rsid w:val="00537FDB"/>
    <w:rsid w:val="0054590A"/>
    <w:rsid w:val="00554C60"/>
    <w:rsid w:val="00554EB8"/>
    <w:rsid w:val="005612F7"/>
    <w:rsid w:val="00562088"/>
    <w:rsid w:val="005642AD"/>
    <w:rsid w:val="00575BAF"/>
    <w:rsid w:val="00577911"/>
    <w:rsid w:val="005830C6"/>
    <w:rsid w:val="0058453A"/>
    <w:rsid w:val="00594B48"/>
    <w:rsid w:val="00597C39"/>
    <w:rsid w:val="005A1054"/>
    <w:rsid w:val="005A414A"/>
    <w:rsid w:val="005A433D"/>
    <w:rsid w:val="005C1810"/>
    <w:rsid w:val="005C493E"/>
    <w:rsid w:val="005C6408"/>
    <w:rsid w:val="005D293B"/>
    <w:rsid w:val="005E3CF6"/>
    <w:rsid w:val="005E3D83"/>
    <w:rsid w:val="005E4C45"/>
    <w:rsid w:val="00601495"/>
    <w:rsid w:val="00602C13"/>
    <w:rsid w:val="006031A3"/>
    <w:rsid w:val="0060557A"/>
    <w:rsid w:val="00605C33"/>
    <w:rsid w:val="00607482"/>
    <w:rsid w:val="00610D0A"/>
    <w:rsid w:val="00614A29"/>
    <w:rsid w:val="00636342"/>
    <w:rsid w:val="00640A95"/>
    <w:rsid w:val="0065332F"/>
    <w:rsid w:val="00653F4F"/>
    <w:rsid w:val="00655908"/>
    <w:rsid w:val="006630BC"/>
    <w:rsid w:val="00664C68"/>
    <w:rsid w:val="00675A46"/>
    <w:rsid w:val="00677118"/>
    <w:rsid w:val="0068730F"/>
    <w:rsid w:val="006A515F"/>
    <w:rsid w:val="006B4C74"/>
    <w:rsid w:val="006B6F31"/>
    <w:rsid w:val="006C14D1"/>
    <w:rsid w:val="006C1EA6"/>
    <w:rsid w:val="006C4FED"/>
    <w:rsid w:val="006C58F0"/>
    <w:rsid w:val="006C6FAC"/>
    <w:rsid w:val="006D3109"/>
    <w:rsid w:val="006D7F93"/>
    <w:rsid w:val="006E411A"/>
    <w:rsid w:val="006E43BE"/>
    <w:rsid w:val="006F55D6"/>
    <w:rsid w:val="006F5F8A"/>
    <w:rsid w:val="006F64DA"/>
    <w:rsid w:val="006F7016"/>
    <w:rsid w:val="006F70F2"/>
    <w:rsid w:val="0070336C"/>
    <w:rsid w:val="00704EE6"/>
    <w:rsid w:val="0071092A"/>
    <w:rsid w:val="00710AA1"/>
    <w:rsid w:val="00716BE2"/>
    <w:rsid w:val="00727D56"/>
    <w:rsid w:val="007464C0"/>
    <w:rsid w:val="00766ED6"/>
    <w:rsid w:val="007676A3"/>
    <w:rsid w:val="007677CF"/>
    <w:rsid w:val="00777789"/>
    <w:rsid w:val="007829B4"/>
    <w:rsid w:val="00784F8C"/>
    <w:rsid w:val="00785A08"/>
    <w:rsid w:val="00787873"/>
    <w:rsid w:val="007A4606"/>
    <w:rsid w:val="007C4B77"/>
    <w:rsid w:val="007D1E81"/>
    <w:rsid w:val="007D258B"/>
    <w:rsid w:val="007D68AB"/>
    <w:rsid w:val="007E2DA9"/>
    <w:rsid w:val="007F0051"/>
    <w:rsid w:val="007F6745"/>
    <w:rsid w:val="00804DC6"/>
    <w:rsid w:val="00804E78"/>
    <w:rsid w:val="00815155"/>
    <w:rsid w:val="00815611"/>
    <w:rsid w:val="00817404"/>
    <w:rsid w:val="008177EE"/>
    <w:rsid w:val="00817CB2"/>
    <w:rsid w:val="00823726"/>
    <w:rsid w:val="00823C8E"/>
    <w:rsid w:val="00832C52"/>
    <w:rsid w:val="008330FE"/>
    <w:rsid w:val="008440B6"/>
    <w:rsid w:val="00851D9F"/>
    <w:rsid w:val="00852285"/>
    <w:rsid w:val="00852F08"/>
    <w:rsid w:val="00853465"/>
    <w:rsid w:val="008540E0"/>
    <w:rsid w:val="00857187"/>
    <w:rsid w:val="008572CE"/>
    <w:rsid w:val="008634EE"/>
    <w:rsid w:val="00865C0C"/>
    <w:rsid w:val="00866D23"/>
    <w:rsid w:val="00867537"/>
    <w:rsid w:val="00870D90"/>
    <w:rsid w:val="00870E64"/>
    <w:rsid w:val="0088563E"/>
    <w:rsid w:val="00890778"/>
    <w:rsid w:val="00892E0F"/>
    <w:rsid w:val="00897281"/>
    <w:rsid w:val="0089767F"/>
    <w:rsid w:val="008A18E0"/>
    <w:rsid w:val="008A445A"/>
    <w:rsid w:val="008A4860"/>
    <w:rsid w:val="008A5033"/>
    <w:rsid w:val="008B2AAF"/>
    <w:rsid w:val="008B3E82"/>
    <w:rsid w:val="008B5BD1"/>
    <w:rsid w:val="008C0AFC"/>
    <w:rsid w:val="008C5EFC"/>
    <w:rsid w:val="008E5C0F"/>
    <w:rsid w:val="008F0708"/>
    <w:rsid w:val="00901709"/>
    <w:rsid w:val="009040CB"/>
    <w:rsid w:val="00912298"/>
    <w:rsid w:val="00912E57"/>
    <w:rsid w:val="0091670A"/>
    <w:rsid w:val="0091697C"/>
    <w:rsid w:val="00920D92"/>
    <w:rsid w:val="00923924"/>
    <w:rsid w:val="0092695A"/>
    <w:rsid w:val="00927AE9"/>
    <w:rsid w:val="00933978"/>
    <w:rsid w:val="009401EE"/>
    <w:rsid w:val="009429EB"/>
    <w:rsid w:val="00943A06"/>
    <w:rsid w:val="009447AC"/>
    <w:rsid w:val="009449D5"/>
    <w:rsid w:val="009502C8"/>
    <w:rsid w:val="00953770"/>
    <w:rsid w:val="0095385A"/>
    <w:rsid w:val="00962C67"/>
    <w:rsid w:val="00971D22"/>
    <w:rsid w:val="0097312C"/>
    <w:rsid w:val="00980732"/>
    <w:rsid w:val="009816EB"/>
    <w:rsid w:val="009850F9"/>
    <w:rsid w:val="00994F82"/>
    <w:rsid w:val="009968A4"/>
    <w:rsid w:val="00996F52"/>
    <w:rsid w:val="009A43B2"/>
    <w:rsid w:val="009A5408"/>
    <w:rsid w:val="009B0748"/>
    <w:rsid w:val="009D2D46"/>
    <w:rsid w:val="009D77FA"/>
    <w:rsid w:val="009E17C6"/>
    <w:rsid w:val="009E1D9B"/>
    <w:rsid w:val="009E3F46"/>
    <w:rsid w:val="009F56B7"/>
    <w:rsid w:val="009F5C66"/>
    <w:rsid w:val="00A05BBC"/>
    <w:rsid w:val="00A06CFF"/>
    <w:rsid w:val="00A104B0"/>
    <w:rsid w:val="00A11352"/>
    <w:rsid w:val="00A12632"/>
    <w:rsid w:val="00A13D04"/>
    <w:rsid w:val="00A4430D"/>
    <w:rsid w:val="00A46384"/>
    <w:rsid w:val="00A52A5A"/>
    <w:rsid w:val="00A57F02"/>
    <w:rsid w:val="00A606B5"/>
    <w:rsid w:val="00A61D33"/>
    <w:rsid w:val="00A809C3"/>
    <w:rsid w:val="00A87C79"/>
    <w:rsid w:val="00AA02D3"/>
    <w:rsid w:val="00AA0F72"/>
    <w:rsid w:val="00AA1CE3"/>
    <w:rsid w:val="00AA4C59"/>
    <w:rsid w:val="00AA6238"/>
    <w:rsid w:val="00AA6FDF"/>
    <w:rsid w:val="00AB1B93"/>
    <w:rsid w:val="00AB6194"/>
    <w:rsid w:val="00AC2900"/>
    <w:rsid w:val="00AE0E74"/>
    <w:rsid w:val="00AE5B8D"/>
    <w:rsid w:val="00AF1A2B"/>
    <w:rsid w:val="00AF1D20"/>
    <w:rsid w:val="00B0442F"/>
    <w:rsid w:val="00B064DD"/>
    <w:rsid w:val="00B11FC2"/>
    <w:rsid w:val="00B123BA"/>
    <w:rsid w:val="00B20C56"/>
    <w:rsid w:val="00B240DD"/>
    <w:rsid w:val="00B352A7"/>
    <w:rsid w:val="00B4017E"/>
    <w:rsid w:val="00B45647"/>
    <w:rsid w:val="00B512BB"/>
    <w:rsid w:val="00B602F4"/>
    <w:rsid w:val="00B661DF"/>
    <w:rsid w:val="00B66E9E"/>
    <w:rsid w:val="00B80FAD"/>
    <w:rsid w:val="00BA02B2"/>
    <w:rsid w:val="00BA2001"/>
    <w:rsid w:val="00BA7105"/>
    <w:rsid w:val="00BB11DD"/>
    <w:rsid w:val="00BB4F0F"/>
    <w:rsid w:val="00BC057B"/>
    <w:rsid w:val="00BE466B"/>
    <w:rsid w:val="00BE574F"/>
    <w:rsid w:val="00BE6BFE"/>
    <w:rsid w:val="00C0255E"/>
    <w:rsid w:val="00C1003A"/>
    <w:rsid w:val="00C1546A"/>
    <w:rsid w:val="00C210C8"/>
    <w:rsid w:val="00C21C68"/>
    <w:rsid w:val="00C23539"/>
    <w:rsid w:val="00C304A9"/>
    <w:rsid w:val="00C32B6D"/>
    <w:rsid w:val="00C339E5"/>
    <w:rsid w:val="00C406A6"/>
    <w:rsid w:val="00C52B80"/>
    <w:rsid w:val="00C5432D"/>
    <w:rsid w:val="00C54682"/>
    <w:rsid w:val="00C63249"/>
    <w:rsid w:val="00C73791"/>
    <w:rsid w:val="00C74EF0"/>
    <w:rsid w:val="00C92256"/>
    <w:rsid w:val="00CA624E"/>
    <w:rsid w:val="00CC4038"/>
    <w:rsid w:val="00CE0398"/>
    <w:rsid w:val="00CE0764"/>
    <w:rsid w:val="00CE6B45"/>
    <w:rsid w:val="00CE740D"/>
    <w:rsid w:val="00CE7C71"/>
    <w:rsid w:val="00D00EFC"/>
    <w:rsid w:val="00D05827"/>
    <w:rsid w:val="00D06BD6"/>
    <w:rsid w:val="00D07C04"/>
    <w:rsid w:val="00D1104C"/>
    <w:rsid w:val="00D11D89"/>
    <w:rsid w:val="00D127FF"/>
    <w:rsid w:val="00D1428C"/>
    <w:rsid w:val="00D16617"/>
    <w:rsid w:val="00D2733B"/>
    <w:rsid w:val="00D308EC"/>
    <w:rsid w:val="00D464B8"/>
    <w:rsid w:val="00D47240"/>
    <w:rsid w:val="00D5223E"/>
    <w:rsid w:val="00D54C58"/>
    <w:rsid w:val="00D60577"/>
    <w:rsid w:val="00D75A98"/>
    <w:rsid w:val="00D80A2B"/>
    <w:rsid w:val="00DA0B6E"/>
    <w:rsid w:val="00DA48FB"/>
    <w:rsid w:val="00DC076B"/>
    <w:rsid w:val="00DC25E7"/>
    <w:rsid w:val="00DC5C0D"/>
    <w:rsid w:val="00DC67C3"/>
    <w:rsid w:val="00DE0FCF"/>
    <w:rsid w:val="00DE104F"/>
    <w:rsid w:val="00DE1928"/>
    <w:rsid w:val="00DE3FFC"/>
    <w:rsid w:val="00DE68CC"/>
    <w:rsid w:val="00E00C5E"/>
    <w:rsid w:val="00E03B79"/>
    <w:rsid w:val="00E1140E"/>
    <w:rsid w:val="00E2135B"/>
    <w:rsid w:val="00E2283E"/>
    <w:rsid w:val="00E25E81"/>
    <w:rsid w:val="00E330CC"/>
    <w:rsid w:val="00E333A6"/>
    <w:rsid w:val="00E5343A"/>
    <w:rsid w:val="00E538A9"/>
    <w:rsid w:val="00E60D98"/>
    <w:rsid w:val="00E64FCA"/>
    <w:rsid w:val="00E718E8"/>
    <w:rsid w:val="00E74552"/>
    <w:rsid w:val="00E747A9"/>
    <w:rsid w:val="00E77F25"/>
    <w:rsid w:val="00E80430"/>
    <w:rsid w:val="00E81711"/>
    <w:rsid w:val="00E8678A"/>
    <w:rsid w:val="00E9323A"/>
    <w:rsid w:val="00EA10B7"/>
    <w:rsid w:val="00EB1E81"/>
    <w:rsid w:val="00EB3D87"/>
    <w:rsid w:val="00EB50E6"/>
    <w:rsid w:val="00EC03F6"/>
    <w:rsid w:val="00EC0677"/>
    <w:rsid w:val="00EC5FB6"/>
    <w:rsid w:val="00ED3252"/>
    <w:rsid w:val="00EE5CE6"/>
    <w:rsid w:val="00EF35CD"/>
    <w:rsid w:val="00F05C5A"/>
    <w:rsid w:val="00F25738"/>
    <w:rsid w:val="00F34A45"/>
    <w:rsid w:val="00F35D93"/>
    <w:rsid w:val="00F3702B"/>
    <w:rsid w:val="00F371FE"/>
    <w:rsid w:val="00F612EF"/>
    <w:rsid w:val="00F65ADA"/>
    <w:rsid w:val="00F6604D"/>
    <w:rsid w:val="00F7751F"/>
    <w:rsid w:val="00F813D8"/>
    <w:rsid w:val="00F81D8B"/>
    <w:rsid w:val="00F84062"/>
    <w:rsid w:val="00F84B8E"/>
    <w:rsid w:val="00F85551"/>
    <w:rsid w:val="00F90B56"/>
    <w:rsid w:val="00F94B2C"/>
    <w:rsid w:val="00F966BF"/>
    <w:rsid w:val="00FA0790"/>
    <w:rsid w:val="00FA1807"/>
    <w:rsid w:val="00FA34B0"/>
    <w:rsid w:val="00FB0112"/>
    <w:rsid w:val="00FC4BA9"/>
    <w:rsid w:val="00FD599B"/>
    <w:rsid w:val="00FD7A81"/>
    <w:rsid w:val="00FE258A"/>
    <w:rsid w:val="00FE515C"/>
    <w:rsid w:val="00FF289E"/>
    <w:rsid w:val="00FF385C"/>
    <w:rsid w:val="00FF4B88"/>
    <w:rsid w:val="00FF5BE6"/>
    <w:rsid w:val="00FF5C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9064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8540E0"/>
    <w:pPr>
      <w:spacing w:before="120" w:after="120"/>
      <w:jc w:val="both"/>
    </w:pPr>
    <w:rPr>
      <w:rFonts w:ascii="Tunga" w:eastAsia="Arial Unicode MS" w:hAnsi="Tunga" w:cs="Tunga"/>
      <w:sz w:val="22"/>
      <w:szCs w:val="22"/>
      <w:lang w:eastAsia="de-DE"/>
    </w:rPr>
  </w:style>
  <w:style w:type="paragraph" w:styleId="Heading1">
    <w:name w:val="heading 1"/>
    <w:basedOn w:val="Normal"/>
    <w:next w:val="Normal"/>
    <w:qFormat/>
    <w:rsid w:val="008540E0"/>
    <w:pPr>
      <w:keepNext/>
      <w:spacing w:before="480"/>
      <w:outlineLvl w:val="0"/>
    </w:pPr>
    <w:rPr>
      <w:rFonts w:ascii="Arial" w:hAnsi="Arial" w:cs="Arial"/>
      <w:b/>
      <w:bCs/>
      <w:smallCaps/>
      <w:sz w:val="24"/>
      <w:szCs w:val="32"/>
    </w:rPr>
  </w:style>
  <w:style w:type="paragraph" w:styleId="Heading2">
    <w:name w:val="heading 2"/>
    <w:basedOn w:val="Normal"/>
    <w:next w:val="Normal"/>
    <w:qFormat/>
    <w:rsid w:val="008540E0"/>
    <w:pPr>
      <w:keepNext/>
      <w:numPr>
        <w:ilvl w:val="1"/>
        <w:numId w:val="2"/>
      </w:numPr>
      <w:outlineLvl w:val="1"/>
    </w:pPr>
    <w:rPr>
      <w:b/>
      <w:bCs/>
      <w:iCs/>
      <w:szCs w:val="28"/>
    </w:rPr>
  </w:style>
  <w:style w:type="paragraph" w:styleId="Heading3">
    <w:name w:val="heading 3"/>
    <w:basedOn w:val="Normal"/>
    <w:next w:val="Normal"/>
    <w:qFormat/>
    <w:rsid w:val="008540E0"/>
    <w:pPr>
      <w:keepNext/>
      <w:numPr>
        <w:ilvl w:val="2"/>
        <w:numId w:val="2"/>
      </w:numPr>
      <w:outlineLvl w:val="2"/>
    </w:pPr>
    <w:rPr>
      <w:bCs/>
      <w:i/>
      <w:szCs w:val="26"/>
    </w:rPr>
  </w:style>
  <w:style w:type="paragraph" w:styleId="Heading4">
    <w:name w:val="heading 4"/>
    <w:basedOn w:val="Normal"/>
    <w:next w:val="Normal"/>
    <w:qFormat/>
    <w:rsid w:val="008540E0"/>
    <w:pPr>
      <w:keepNext/>
      <w:numPr>
        <w:ilvl w:val="3"/>
        <w:numId w:val="2"/>
      </w:numPr>
      <w:outlineLvl w:val="3"/>
    </w:pPr>
    <w:rPr>
      <w:bCs/>
      <w:szCs w:val="28"/>
    </w:rPr>
  </w:style>
  <w:style w:type="paragraph" w:styleId="Heading5">
    <w:name w:val="heading 5"/>
    <w:basedOn w:val="Normal"/>
    <w:next w:val="Normal"/>
    <w:qFormat/>
    <w:rsid w:val="008540E0"/>
    <w:pPr>
      <w:keepNext/>
      <w:spacing w:before="60" w:after="0"/>
      <w:jc w:val="left"/>
      <w:outlineLvl w:val="4"/>
    </w:pPr>
    <w:rPr>
      <w:rFonts w:ascii="Times New Roman" w:hAnsi="Times New Roman"/>
      <w:b/>
      <w:bCs/>
      <w:sz w:val="20"/>
      <w:szCs w:val="14"/>
    </w:rPr>
  </w:style>
  <w:style w:type="paragraph" w:styleId="Heading6">
    <w:name w:val="heading 6"/>
    <w:basedOn w:val="Normal"/>
    <w:next w:val="Normal"/>
    <w:qFormat/>
    <w:rsid w:val="008540E0"/>
    <w:pPr>
      <w:keepNext/>
      <w:spacing w:before="60" w:after="0"/>
      <w:jc w:val="left"/>
      <w:outlineLvl w:val="5"/>
    </w:pPr>
    <w:rPr>
      <w:rFonts w:ascii="Times New Roman Bold" w:hAnsi="Times New Roman Bold"/>
      <w:b/>
      <w:bCs/>
      <w:caps/>
      <w:color w:val="FF0000"/>
      <w:sz w:val="14"/>
      <w:szCs w:val="14"/>
    </w:rPr>
  </w:style>
  <w:style w:type="paragraph" w:styleId="Heading7">
    <w:name w:val="heading 7"/>
    <w:basedOn w:val="Normal"/>
    <w:next w:val="Normal"/>
    <w:qFormat/>
    <w:rsid w:val="008540E0"/>
    <w:pPr>
      <w:keepNext/>
      <w:numPr>
        <w:ilvl w:val="12"/>
      </w:numPr>
      <w:spacing w:before="60" w:after="0"/>
      <w:jc w:val="left"/>
      <w:outlineLvl w:val="6"/>
    </w:pPr>
    <w:rPr>
      <w:rFonts w:ascii="Times New Roman" w:hAnsi="Times New Roman"/>
      <w:b/>
      <w:bCs/>
      <w:sz w:val="20"/>
      <w:szCs w:val="14"/>
      <w:u w:val="single"/>
    </w:rPr>
  </w:style>
  <w:style w:type="paragraph" w:styleId="Heading8">
    <w:name w:val="heading 8"/>
    <w:basedOn w:val="Normal"/>
    <w:next w:val="Normal"/>
    <w:qFormat/>
    <w:rsid w:val="008540E0"/>
    <w:pPr>
      <w:keepNext/>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ed">
    <w:name w:val="Added"/>
    <w:rsid w:val="008540E0"/>
    <w:rPr>
      <w:b/>
      <w:u w:val="single"/>
    </w:rPr>
  </w:style>
  <w:style w:type="paragraph" w:customStyle="1" w:styleId="Address">
    <w:name w:val="Address"/>
    <w:basedOn w:val="Normal"/>
    <w:next w:val="Normal"/>
    <w:rsid w:val="008540E0"/>
    <w:pPr>
      <w:keepLines/>
      <w:spacing w:line="360" w:lineRule="auto"/>
      <w:ind w:left="3402"/>
      <w:jc w:val="left"/>
    </w:pPr>
  </w:style>
  <w:style w:type="paragraph" w:customStyle="1" w:styleId="Annexetitreacte">
    <w:name w:val="Annexe titre (acte)"/>
    <w:basedOn w:val="Normal"/>
    <w:next w:val="Normal"/>
    <w:rsid w:val="008540E0"/>
    <w:pPr>
      <w:jc w:val="center"/>
    </w:pPr>
    <w:rPr>
      <w:b/>
      <w:u w:val="single"/>
    </w:rPr>
  </w:style>
  <w:style w:type="paragraph" w:customStyle="1" w:styleId="Annexetitreexposglobal">
    <w:name w:val="Annexe titre (exposé global)"/>
    <w:basedOn w:val="Normal"/>
    <w:next w:val="Normal"/>
    <w:rsid w:val="008540E0"/>
    <w:pPr>
      <w:jc w:val="center"/>
    </w:pPr>
    <w:rPr>
      <w:b/>
      <w:u w:val="single"/>
    </w:rPr>
  </w:style>
  <w:style w:type="paragraph" w:customStyle="1" w:styleId="Annexetitreexpos">
    <w:name w:val="Annexe titre (exposé)"/>
    <w:basedOn w:val="Normal"/>
    <w:next w:val="Normal"/>
    <w:rsid w:val="008540E0"/>
    <w:pPr>
      <w:jc w:val="center"/>
    </w:pPr>
    <w:rPr>
      <w:b/>
      <w:u w:val="single"/>
    </w:rPr>
  </w:style>
  <w:style w:type="paragraph" w:customStyle="1" w:styleId="Annexetitrefichefinacte">
    <w:name w:val="Annexe titre (fiche fin. acte)"/>
    <w:basedOn w:val="Normal"/>
    <w:next w:val="Normal"/>
    <w:rsid w:val="008540E0"/>
    <w:pPr>
      <w:jc w:val="center"/>
    </w:pPr>
    <w:rPr>
      <w:b/>
      <w:u w:val="single"/>
    </w:rPr>
  </w:style>
  <w:style w:type="paragraph" w:customStyle="1" w:styleId="Annexetitrefichefinglobale">
    <w:name w:val="Annexe titre (fiche fin. globale)"/>
    <w:basedOn w:val="Normal"/>
    <w:next w:val="Normal"/>
    <w:rsid w:val="008540E0"/>
    <w:pPr>
      <w:jc w:val="center"/>
    </w:pPr>
    <w:rPr>
      <w:b/>
      <w:u w:val="single"/>
    </w:rPr>
  </w:style>
  <w:style w:type="paragraph" w:customStyle="1" w:styleId="Annexetitreglobale">
    <w:name w:val="Annexe titre (globale)"/>
    <w:basedOn w:val="Normal"/>
    <w:next w:val="Normal"/>
    <w:rsid w:val="008540E0"/>
    <w:pPr>
      <w:jc w:val="center"/>
    </w:pPr>
    <w:rPr>
      <w:b/>
      <w:u w:val="single"/>
    </w:rPr>
  </w:style>
  <w:style w:type="paragraph" w:customStyle="1" w:styleId="Applicationdirecte">
    <w:name w:val="Application directe"/>
    <w:basedOn w:val="Normal"/>
    <w:next w:val="Normal"/>
    <w:rsid w:val="008540E0"/>
    <w:pPr>
      <w:spacing w:before="480"/>
    </w:pPr>
  </w:style>
  <w:style w:type="paragraph" w:customStyle="1" w:styleId="Avertissementtitre">
    <w:name w:val="Avertissement titre"/>
    <w:basedOn w:val="Normal"/>
    <w:next w:val="Normal"/>
    <w:rsid w:val="008540E0"/>
    <w:pPr>
      <w:keepNext/>
      <w:spacing w:before="480"/>
    </w:pPr>
    <w:rPr>
      <w:u w:val="single"/>
    </w:rPr>
  </w:style>
  <w:style w:type="paragraph" w:customStyle="1" w:styleId="ChapterTitle">
    <w:name w:val="ChapterTitle"/>
    <w:basedOn w:val="Normal"/>
    <w:next w:val="Normal"/>
    <w:rsid w:val="008540E0"/>
    <w:pPr>
      <w:keepNext/>
      <w:spacing w:after="360"/>
      <w:jc w:val="center"/>
    </w:pPr>
    <w:rPr>
      <w:b/>
      <w:sz w:val="32"/>
    </w:rPr>
  </w:style>
  <w:style w:type="paragraph" w:customStyle="1" w:styleId="Confidence">
    <w:name w:val="Confidence"/>
    <w:basedOn w:val="Normal"/>
    <w:next w:val="Normal"/>
    <w:rsid w:val="008540E0"/>
    <w:pPr>
      <w:spacing w:before="360"/>
      <w:jc w:val="center"/>
    </w:pPr>
  </w:style>
  <w:style w:type="paragraph" w:customStyle="1" w:styleId="Confidentialit">
    <w:name w:val="Confidentialité"/>
    <w:basedOn w:val="Normal"/>
    <w:next w:val="Normal"/>
    <w:rsid w:val="008540E0"/>
    <w:pPr>
      <w:spacing w:before="240" w:after="240"/>
      <w:ind w:left="5103"/>
    </w:pPr>
    <w:rPr>
      <w:u w:val="single"/>
    </w:rPr>
  </w:style>
  <w:style w:type="paragraph" w:customStyle="1" w:styleId="Considrant">
    <w:name w:val="Considérant"/>
    <w:basedOn w:val="Normal"/>
    <w:rsid w:val="008540E0"/>
    <w:pPr>
      <w:numPr>
        <w:numId w:val="1"/>
      </w:numPr>
    </w:pPr>
  </w:style>
  <w:style w:type="paragraph" w:customStyle="1" w:styleId="Corrigendum">
    <w:name w:val="Corrigendum"/>
    <w:basedOn w:val="Normal"/>
    <w:next w:val="Normal"/>
    <w:rsid w:val="008540E0"/>
    <w:pPr>
      <w:spacing w:before="0" w:after="240"/>
      <w:jc w:val="left"/>
    </w:pPr>
  </w:style>
  <w:style w:type="paragraph" w:customStyle="1" w:styleId="Datedadoption">
    <w:name w:val="Date d'adoption"/>
    <w:basedOn w:val="Normal"/>
    <w:next w:val="Normal"/>
    <w:rsid w:val="008540E0"/>
    <w:pPr>
      <w:spacing w:before="360" w:after="0"/>
      <w:jc w:val="center"/>
    </w:pPr>
    <w:rPr>
      <w:b/>
    </w:rPr>
  </w:style>
  <w:style w:type="character" w:customStyle="1" w:styleId="Deleted">
    <w:name w:val="Deleted"/>
    <w:rsid w:val="008540E0"/>
    <w:rPr>
      <w:strike/>
    </w:rPr>
  </w:style>
  <w:style w:type="paragraph" w:customStyle="1" w:styleId="Emission">
    <w:name w:val="Emission"/>
    <w:basedOn w:val="Normal"/>
    <w:next w:val="Normal"/>
    <w:rsid w:val="008540E0"/>
    <w:pPr>
      <w:spacing w:before="0" w:after="0"/>
      <w:ind w:left="5103"/>
      <w:jc w:val="left"/>
    </w:pPr>
  </w:style>
  <w:style w:type="paragraph" w:customStyle="1" w:styleId="Exposdesmotifstitre">
    <w:name w:val="Exposé des motifs titre"/>
    <w:basedOn w:val="Normal"/>
    <w:next w:val="Normal"/>
    <w:rsid w:val="008540E0"/>
    <w:pPr>
      <w:jc w:val="center"/>
    </w:pPr>
    <w:rPr>
      <w:b/>
      <w:u w:val="single"/>
    </w:rPr>
  </w:style>
  <w:style w:type="paragraph" w:customStyle="1" w:styleId="Exposdesmotifstitreglobal">
    <w:name w:val="Exposé des motifs titre (global)"/>
    <w:basedOn w:val="Normal"/>
    <w:next w:val="Normal"/>
    <w:rsid w:val="008540E0"/>
    <w:pPr>
      <w:jc w:val="center"/>
    </w:pPr>
    <w:rPr>
      <w:b/>
      <w:u w:val="single"/>
    </w:rPr>
  </w:style>
  <w:style w:type="paragraph" w:customStyle="1" w:styleId="Fait">
    <w:name w:val="Fait à"/>
    <w:basedOn w:val="Normal"/>
    <w:next w:val="Normal"/>
    <w:rsid w:val="008540E0"/>
    <w:pPr>
      <w:keepNext/>
      <w:spacing w:after="0"/>
    </w:pPr>
  </w:style>
  <w:style w:type="paragraph" w:customStyle="1" w:styleId="Fichefinancireattributiontitre">
    <w:name w:val="Fiche financière (attribution) titre"/>
    <w:basedOn w:val="Normal"/>
    <w:next w:val="Normal"/>
    <w:rsid w:val="008540E0"/>
    <w:pPr>
      <w:jc w:val="center"/>
    </w:pPr>
    <w:rPr>
      <w:b/>
      <w:u w:val="single"/>
    </w:rPr>
  </w:style>
  <w:style w:type="paragraph" w:customStyle="1" w:styleId="Fichefinancireattributiontitreacte">
    <w:name w:val="Fiche financière (attribution) titre (acte)"/>
    <w:basedOn w:val="Normal"/>
    <w:next w:val="Normal"/>
    <w:rsid w:val="008540E0"/>
    <w:pPr>
      <w:jc w:val="center"/>
    </w:pPr>
    <w:rPr>
      <w:b/>
      <w:u w:val="single"/>
    </w:rPr>
  </w:style>
  <w:style w:type="paragraph" w:customStyle="1" w:styleId="Fichefinancirestandardtitre">
    <w:name w:val="Fiche financière (standard) titre"/>
    <w:basedOn w:val="Normal"/>
    <w:next w:val="Normal"/>
    <w:rsid w:val="008540E0"/>
    <w:pPr>
      <w:jc w:val="center"/>
    </w:pPr>
    <w:rPr>
      <w:b/>
      <w:u w:val="single"/>
    </w:rPr>
  </w:style>
  <w:style w:type="paragraph" w:customStyle="1" w:styleId="Fichefinancirestandardtitreacte">
    <w:name w:val="Fiche financière (standard) titre (acte)"/>
    <w:basedOn w:val="Normal"/>
    <w:next w:val="Normal"/>
    <w:rsid w:val="008540E0"/>
    <w:pPr>
      <w:jc w:val="center"/>
    </w:pPr>
    <w:rPr>
      <w:b/>
      <w:u w:val="single"/>
    </w:rPr>
  </w:style>
  <w:style w:type="paragraph" w:customStyle="1" w:styleId="Fichefinanciretravailtitre">
    <w:name w:val="Fiche financière (travail) titre"/>
    <w:basedOn w:val="Normal"/>
    <w:next w:val="Normal"/>
    <w:rsid w:val="008540E0"/>
    <w:pPr>
      <w:jc w:val="center"/>
    </w:pPr>
    <w:rPr>
      <w:b/>
      <w:u w:val="single"/>
    </w:rPr>
  </w:style>
  <w:style w:type="paragraph" w:customStyle="1" w:styleId="Fichefinanciretravailtitreacte">
    <w:name w:val="Fiche financière (travail) titre (acte)"/>
    <w:basedOn w:val="Normal"/>
    <w:next w:val="Normal"/>
    <w:rsid w:val="008540E0"/>
    <w:pPr>
      <w:jc w:val="center"/>
    </w:pPr>
    <w:rPr>
      <w:b/>
      <w:u w:val="single"/>
    </w:rPr>
  </w:style>
  <w:style w:type="paragraph" w:styleId="Footer">
    <w:name w:val="footer"/>
    <w:basedOn w:val="Normal"/>
    <w:uiPriority w:val="99"/>
    <w:rsid w:val="008540E0"/>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8540E0"/>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Footnote reference number,note TESI,ftref,4_G,Ref,de nota al pie,Ref1,de nota al pie1,Ref2,de nota al pie2,Ref11,de nota al pie11,16 Point,Superscript 6 Point,Footnotes refss"/>
    <w:semiHidden/>
    <w:rsid w:val="008540E0"/>
    <w:rPr>
      <w:vertAlign w:val="superscript"/>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ußnotentextf,fn,ADB"/>
    <w:basedOn w:val="Normal"/>
    <w:link w:val="FootnoteTextChar1"/>
    <w:rsid w:val="008540E0"/>
    <w:pPr>
      <w:spacing w:before="0" w:after="0"/>
      <w:ind w:left="720" w:hanging="720"/>
    </w:pPr>
    <w:rPr>
      <w:sz w:val="20"/>
      <w:szCs w:val="20"/>
    </w:rPr>
  </w:style>
  <w:style w:type="paragraph" w:customStyle="1" w:styleId="Formuledadoption">
    <w:name w:val="Formule d'adoption"/>
    <w:basedOn w:val="Normal"/>
    <w:next w:val="Normal"/>
    <w:rsid w:val="008540E0"/>
    <w:pPr>
      <w:keepNext/>
    </w:pPr>
  </w:style>
  <w:style w:type="paragraph" w:styleId="Header">
    <w:name w:val="header"/>
    <w:basedOn w:val="Normal"/>
    <w:semiHidden/>
    <w:rsid w:val="008540E0"/>
    <w:pPr>
      <w:tabs>
        <w:tab w:val="right" w:pos="9071"/>
      </w:tabs>
    </w:pPr>
  </w:style>
  <w:style w:type="paragraph" w:customStyle="1" w:styleId="HeaderLandscape">
    <w:name w:val="HeaderLandscape"/>
    <w:basedOn w:val="Normal"/>
    <w:rsid w:val="008540E0"/>
    <w:pPr>
      <w:tabs>
        <w:tab w:val="right" w:pos="14003"/>
      </w:tabs>
    </w:pPr>
  </w:style>
  <w:style w:type="paragraph" w:customStyle="1" w:styleId="Institutionquiagit">
    <w:name w:val="Institution qui agit"/>
    <w:basedOn w:val="Normal"/>
    <w:next w:val="Normal"/>
    <w:rsid w:val="008540E0"/>
    <w:pPr>
      <w:keepNext/>
      <w:spacing w:before="600"/>
    </w:pPr>
  </w:style>
  <w:style w:type="paragraph" w:customStyle="1" w:styleId="Institutionquisigne">
    <w:name w:val="Institution qui signe"/>
    <w:basedOn w:val="Normal"/>
    <w:next w:val="Normal"/>
    <w:rsid w:val="008540E0"/>
    <w:pPr>
      <w:keepNext/>
      <w:tabs>
        <w:tab w:val="left" w:pos="4252"/>
      </w:tabs>
      <w:spacing w:before="720" w:after="0"/>
    </w:pPr>
    <w:rPr>
      <w:i/>
    </w:rPr>
  </w:style>
  <w:style w:type="paragraph" w:customStyle="1" w:styleId="Langue">
    <w:name w:val="Langue"/>
    <w:basedOn w:val="Normal"/>
    <w:next w:val="Normal"/>
    <w:rsid w:val="008540E0"/>
    <w:pPr>
      <w:spacing w:before="0" w:after="600"/>
      <w:jc w:val="center"/>
    </w:pPr>
    <w:rPr>
      <w:b/>
      <w:caps/>
    </w:rPr>
  </w:style>
  <w:style w:type="paragraph" w:customStyle="1" w:styleId="Langueoriginale">
    <w:name w:val="Langue originale"/>
    <w:basedOn w:val="Normal"/>
    <w:next w:val="Normal"/>
    <w:rsid w:val="008540E0"/>
    <w:pPr>
      <w:spacing w:before="360"/>
      <w:jc w:val="center"/>
    </w:pPr>
    <w:rPr>
      <w:caps/>
    </w:rPr>
  </w:style>
  <w:style w:type="paragraph" w:styleId="ListBullet">
    <w:name w:val="List Bullet"/>
    <w:basedOn w:val="Normal"/>
    <w:semiHidden/>
    <w:rsid w:val="008540E0"/>
    <w:pPr>
      <w:numPr>
        <w:numId w:val="3"/>
      </w:numPr>
    </w:pPr>
  </w:style>
  <w:style w:type="paragraph" w:customStyle="1" w:styleId="ListBullet1">
    <w:name w:val="List Bullet 1"/>
    <w:basedOn w:val="Normal"/>
    <w:rsid w:val="008540E0"/>
    <w:pPr>
      <w:numPr>
        <w:numId w:val="4"/>
      </w:numPr>
    </w:pPr>
  </w:style>
  <w:style w:type="paragraph" w:styleId="ListBullet2">
    <w:name w:val="List Bullet 2"/>
    <w:basedOn w:val="Normal"/>
    <w:semiHidden/>
    <w:rsid w:val="008540E0"/>
    <w:pPr>
      <w:numPr>
        <w:numId w:val="5"/>
      </w:numPr>
    </w:pPr>
  </w:style>
  <w:style w:type="paragraph" w:styleId="ListBullet3">
    <w:name w:val="List Bullet 3"/>
    <w:basedOn w:val="Normal"/>
    <w:semiHidden/>
    <w:rsid w:val="008540E0"/>
    <w:pPr>
      <w:numPr>
        <w:numId w:val="6"/>
      </w:numPr>
    </w:pPr>
  </w:style>
  <w:style w:type="paragraph" w:styleId="ListBullet4">
    <w:name w:val="List Bullet 4"/>
    <w:basedOn w:val="Normal"/>
    <w:semiHidden/>
    <w:rsid w:val="008540E0"/>
    <w:pPr>
      <w:numPr>
        <w:numId w:val="7"/>
      </w:numPr>
    </w:pPr>
  </w:style>
  <w:style w:type="paragraph" w:customStyle="1" w:styleId="ListDash">
    <w:name w:val="List Dash"/>
    <w:basedOn w:val="Normal"/>
    <w:rsid w:val="008540E0"/>
    <w:pPr>
      <w:numPr>
        <w:numId w:val="8"/>
      </w:numPr>
    </w:pPr>
  </w:style>
  <w:style w:type="paragraph" w:customStyle="1" w:styleId="ListDash1">
    <w:name w:val="List Dash 1"/>
    <w:basedOn w:val="Normal"/>
    <w:rsid w:val="008540E0"/>
    <w:pPr>
      <w:numPr>
        <w:numId w:val="9"/>
      </w:numPr>
    </w:pPr>
  </w:style>
  <w:style w:type="paragraph" w:customStyle="1" w:styleId="ListDash2">
    <w:name w:val="List Dash 2"/>
    <w:basedOn w:val="Normal"/>
    <w:rsid w:val="008540E0"/>
    <w:pPr>
      <w:numPr>
        <w:numId w:val="10"/>
      </w:numPr>
    </w:pPr>
  </w:style>
  <w:style w:type="paragraph" w:customStyle="1" w:styleId="ListDash3">
    <w:name w:val="List Dash 3"/>
    <w:basedOn w:val="Normal"/>
    <w:rsid w:val="008540E0"/>
    <w:pPr>
      <w:numPr>
        <w:numId w:val="11"/>
      </w:numPr>
    </w:pPr>
  </w:style>
  <w:style w:type="paragraph" w:customStyle="1" w:styleId="ListDash4">
    <w:name w:val="List Dash 4"/>
    <w:basedOn w:val="Normal"/>
    <w:rsid w:val="008540E0"/>
    <w:pPr>
      <w:numPr>
        <w:numId w:val="12"/>
      </w:numPr>
    </w:pPr>
  </w:style>
  <w:style w:type="paragraph" w:styleId="ListNumber">
    <w:name w:val="List Number"/>
    <w:basedOn w:val="Normal"/>
    <w:semiHidden/>
    <w:rsid w:val="008540E0"/>
    <w:pPr>
      <w:numPr>
        <w:numId w:val="13"/>
      </w:numPr>
    </w:pPr>
  </w:style>
  <w:style w:type="paragraph" w:customStyle="1" w:styleId="ListNumberLevel2">
    <w:name w:val="List Number (Level 2)"/>
    <w:basedOn w:val="Normal"/>
    <w:rsid w:val="008540E0"/>
    <w:pPr>
      <w:numPr>
        <w:ilvl w:val="1"/>
        <w:numId w:val="13"/>
      </w:numPr>
    </w:pPr>
  </w:style>
  <w:style w:type="paragraph" w:customStyle="1" w:styleId="ListNumberLevel3">
    <w:name w:val="List Number (Level 3)"/>
    <w:basedOn w:val="Normal"/>
    <w:rsid w:val="008540E0"/>
    <w:pPr>
      <w:numPr>
        <w:ilvl w:val="2"/>
        <w:numId w:val="13"/>
      </w:numPr>
    </w:pPr>
  </w:style>
  <w:style w:type="paragraph" w:customStyle="1" w:styleId="ListNumberLevel4">
    <w:name w:val="List Number (Level 4)"/>
    <w:basedOn w:val="Normal"/>
    <w:rsid w:val="008540E0"/>
    <w:pPr>
      <w:numPr>
        <w:ilvl w:val="3"/>
        <w:numId w:val="13"/>
      </w:numPr>
    </w:pPr>
  </w:style>
  <w:style w:type="paragraph" w:customStyle="1" w:styleId="Text1">
    <w:name w:val="Text 1"/>
    <w:basedOn w:val="Normal"/>
    <w:rsid w:val="008540E0"/>
    <w:pPr>
      <w:ind w:left="850"/>
    </w:pPr>
  </w:style>
  <w:style w:type="paragraph" w:customStyle="1" w:styleId="ListNumber1">
    <w:name w:val="List Number 1"/>
    <w:basedOn w:val="Text1"/>
    <w:rsid w:val="008540E0"/>
    <w:pPr>
      <w:numPr>
        <w:numId w:val="14"/>
      </w:numPr>
    </w:pPr>
  </w:style>
  <w:style w:type="paragraph" w:customStyle="1" w:styleId="ListNumber1Level2">
    <w:name w:val="List Number 1 (Level 2)"/>
    <w:basedOn w:val="Text1"/>
    <w:rsid w:val="008540E0"/>
    <w:pPr>
      <w:numPr>
        <w:ilvl w:val="1"/>
        <w:numId w:val="14"/>
      </w:numPr>
    </w:pPr>
  </w:style>
  <w:style w:type="paragraph" w:customStyle="1" w:styleId="ListNumber1Level3">
    <w:name w:val="List Number 1 (Level 3)"/>
    <w:basedOn w:val="Text1"/>
    <w:rsid w:val="008540E0"/>
    <w:pPr>
      <w:numPr>
        <w:ilvl w:val="2"/>
        <w:numId w:val="14"/>
      </w:numPr>
    </w:pPr>
  </w:style>
  <w:style w:type="paragraph" w:customStyle="1" w:styleId="ListNumber1Level4">
    <w:name w:val="List Number 1 (Level 4)"/>
    <w:basedOn w:val="Text1"/>
    <w:rsid w:val="008540E0"/>
    <w:pPr>
      <w:numPr>
        <w:ilvl w:val="3"/>
        <w:numId w:val="14"/>
      </w:numPr>
    </w:pPr>
  </w:style>
  <w:style w:type="paragraph" w:styleId="ListNumber2">
    <w:name w:val="List Number 2"/>
    <w:basedOn w:val="Normal"/>
    <w:semiHidden/>
    <w:rsid w:val="008540E0"/>
    <w:pPr>
      <w:numPr>
        <w:numId w:val="15"/>
      </w:numPr>
    </w:pPr>
  </w:style>
  <w:style w:type="paragraph" w:customStyle="1" w:styleId="Text2">
    <w:name w:val="Text 2"/>
    <w:basedOn w:val="Normal"/>
    <w:rsid w:val="008540E0"/>
    <w:pPr>
      <w:ind w:left="850"/>
    </w:pPr>
  </w:style>
  <w:style w:type="paragraph" w:customStyle="1" w:styleId="ListNumber2Level2">
    <w:name w:val="List Number 2 (Level 2)"/>
    <w:basedOn w:val="Text2"/>
    <w:rsid w:val="008540E0"/>
    <w:pPr>
      <w:numPr>
        <w:ilvl w:val="1"/>
        <w:numId w:val="15"/>
      </w:numPr>
    </w:pPr>
  </w:style>
  <w:style w:type="paragraph" w:customStyle="1" w:styleId="ListNumber2Level3">
    <w:name w:val="List Number 2 (Level 3)"/>
    <w:basedOn w:val="Text2"/>
    <w:rsid w:val="008540E0"/>
    <w:pPr>
      <w:numPr>
        <w:ilvl w:val="2"/>
        <w:numId w:val="15"/>
      </w:numPr>
    </w:pPr>
  </w:style>
  <w:style w:type="paragraph" w:customStyle="1" w:styleId="ListNumber2Level4">
    <w:name w:val="List Number 2 (Level 4)"/>
    <w:basedOn w:val="Text2"/>
    <w:rsid w:val="008540E0"/>
    <w:pPr>
      <w:numPr>
        <w:ilvl w:val="3"/>
        <w:numId w:val="15"/>
      </w:numPr>
    </w:pPr>
  </w:style>
  <w:style w:type="paragraph" w:styleId="ListNumber3">
    <w:name w:val="List Number 3"/>
    <w:basedOn w:val="Normal"/>
    <w:semiHidden/>
    <w:rsid w:val="008540E0"/>
    <w:pPr>
      <w:numPr>
        <w:numId w:val="16"/>
      </w:numPr>
    </w:pPr>
  </w:style>
  <w:style w:type="paragraph" w:customStyle="1" w:styleId="Text3">
    <w:name w:val="Text 3"/>
    <w:basedOn w:val="Normal"/>
    <w:rsid w:val="008540E0"/>
    <w:pPr>
      <w:ind w:left="850"/>
    </w:pPr>
  </w:style>
  <w:style w:type="paragraph" w:customStyle="1" w:styleId="ListNumber3Level2">
    <w:name w:val="List Number 3 (Level 2)"/>
    <w:basedOn w:val="Text3"/>
    <w:rsid w:val="008540E0"/>
    <w:pPr>
      <w:numPr>
        <w:ilvl w:val="1"/>
        <w:numId w:val="16"/>
      </w:numPr>
    </w:pPr>
  </w:style>
  <w:style w:type="paragraph" w:customStyle="1" w:styleId="ListNumber3Level3">
    <w:name w:val="List Number 3 (Level 3)"/>
    <w:basedOn w:val="Text3"/>
    <w:rsid w:val="008540E0"/>
    <w:pPr>
      <w:numPr>
        <w:ilvl w:val="2"/>
        <w:numId w:val="16"/>
      </w:numPr>
    </w:pPr>
  </w:style>
  <w:style w:type="paragraph" w:customStyle="1" w:styleId="ListNumber3Level4">
    <w:name w:val="List Number 3 (Level 4)"/>
    <w:basedOn w:val="Text3"/>
    <w:rsid w:val="008540E0"/>
    <w:pPr>
      <w:numPr>
        <w:ilvl w:val="3"/>
        <w:numId w:val="16"/>
      </w:numPr>
    </w:pPr>
  </w:style>
  <w:style w:type="paragraph" w:styleId="ListNumber4">
    <w:name w:val="List Number 4"/>
    <w:basedOn w:val="Normal"/>
    <w:semiHidden/>
    <w:rsid w:val="008540E0"/>
    <w:pPr>
      <w:numPr>
        <w:numId w:val="17"/>
      </w:numPr>
    </w:pPr>
  </w:style>
  <w:style w:type="paragraph" w:customStyle="1" w:styleId="Text4">
    <w:name w:val="Text 4"/>
    <w:basedOn w:val="Normal"/>
    <w:rsid w:val="008540E0"/>
    <w:pPr>
      <w:ind w:left="850"/>
    </w:pPr>
  </w:style>
  <w:style w:type="paragraph" w:customStyle="1" w:styleId="ListNumber4Level2">
    <w:name w:val="List Number 4 (Level 2)"/>
    <w:basedOn w:val="Text4"/>
    <w:rsid w:val="008540E0"/>
    <w:pPr>
      <w:numPr>
        <w:ilvl w:val="1"/>
        <w:numId w:val="17"/>
      </w:numPr>
    </w:pPr>
  </w:style>
  <w:style w:type="paragraph" w:customStyle="1" w:styleId="ListNumber4Level3">
    <w:name w:val="List Number 4 (Level 3)"/>
    <w:basedOn w:val="Text4"/>
    <w:rsid w:val="008540E0"/>
    <w:pPr>
      <w:numPr>
        <w:ilvl w:val="2"/>
        <w:numId w:val="17"/>
      </w:numPr>
    </w:pPr>
  </w:style>
  <w:style w:type="paragraph" w:customStyle="1" w:styleId="ListNumber4Level4">
    <w:name w:val="List Number 4 (Level 4)"/>
    <w:basedOn w:val="Text4"/>
    <w:rsid w:val="008540E0"/>
    <w:pPr>
      <w:numPr>
        <w:ilvl w:val="3"/>
        <w:numId w:val="17"/>
      </w:numPr>
    </w:pPr>
  </w:style>
  <w:style w:type="paragraph" w:customStyle="1" w:styleId="ManualConsidrant">
    <w:name w:val="Manual Considérant"/>
    <w:basedOn w:val="Normal"/>
    <w:rsid w:val="008540E0"/>
    <w:pPr>
      <w:ind w:left="709" w:hanging="709"/>
    </w:pPr>
  </w:style>
  <w:style w:type="paragraph" w:customStyle="1" w:styleId="ManualHeading1">
    <w:name w:val="Manual Heading 1"/>
    <w:basedOn w:val="Normal"/>
    <w:next w:val="Text1"/>
    <w:rsid w:val="008540E0"/>
    <w:pPr>
      <w:keepNext/>
      <w:tabs>
        <w:tab w:val="left" w:pos="850"/>
      </w:tabs>
      <w:spacing w:before="360"/>
      <w:ind w:left="850" w:hanging="850"/>
      <w:outlineLvl w:val="0"/>
    </w:pPr>
    <w:rPr>
      <w:b/>
      <w:smallCaps/>
    </w:rPr>
  </w:style>
  <w:style w:type="paragraph" w:customStyle="1" w:styleId="ManualHeading2">
    <w:name w:val="Manual Heading 2"/>
    <w:basedOn w:val="Normal"/>
    <w:next w:val="Text2"/>
    <w:rsid w:val="008540E0"/>
    <w:pPr>
      <w:keepNext/>
      <w:tabs>
        <w:tab w:val="left" w:pos="850"/>
      </w:tabs>
      <w:ind w:left="850" w:hanging="850"/>
      <w:outlineLvl w:val="1"/>
    </w:pPr>
    <w:rPr>
      <w:b/>
    </w:rPr>
  </w:style>
  <w:style w:type="paragraph" w:customStyle="1" w:styleId="ManualHeading3">
    <w:name w:val="Manual Heading 3"/>
    <w:basedOn w:val="Normal"/>
    <w:next w:val="Text3"/>
    <w:rsid w:val="008540E0"/>
    <w:pPr>
      <w:keepNext/>
      <w:tabs>
        <w:tab w:val="left" w:pos="850"/>
      </w:tabs>
      <w:ind w:left="850" w:hanging="850"/>
      <w:outlineLvl w:val="2"/>
    </w:pPr>
    <w:rPr>
      <w:i/>
    </w:rPr>
  </w:style>
  <w:style w:type="paragraph" w:customStyle="1" w:styleId="ManualHeading4">
    <w:name w:val="Manual Heading 4"/>
    <w:basedOn w:val="Normal"/>
    <w:next w:val="Text4"/>
    <w:rsid w:val="008540E0"/>
    <w:pPr>
      <w:keepNext/>
      <w:tabs>
        <w:tab w:val="left" w:pos="850"/>
      </w:tabs>
      <w:ind w:left="850" w:hanging="850"/>
      <w:outlineLvl w:val="3"/>
    </w:pPr>
  </w:style>
  <w:style w:type="paragraph" w:customStyle="1" w:styleId="ManualNumPar1">
    <w:name w:val="Manual NumPar 1"/>
    <w:basedOn w:val="Normal"/>
    <w:next w:val="Text1"/>
    <w:rsid w:val="008540E0"/>
    <w:pPr>
      <w:ind w:left="850" w:hanging="850"/>
    </w:pPr>
  </w:style>
  <w:style w:type="paragraph" w:customStyle="1" w:styleId="ManualNumPar2">
    <w:name w:val="Manual NumPar 2"/>
    <w:basedOn w:val="Normal"/>
    <w:next w:val="Text2"/>
    <w:rsid w:val="008540E0"/>
    <w:pPr>
      <w:ind w:left="850" w:hanging="850"/>
    </w:pPr>
  </w:style>
  <w:style w:type="paragraph" w:customStyle="1" w:styleId="ManualNumPar3">
    <w:name w:val="Manual NumPar 3"/>
    <w:basedOn w:val="Normal"/>
    <w:next w:val="Text3"/>
    <w:rsid w:val="008540E0"/>
    <w:pPr>
      <w:ind w:left="850" w:hanging="850"/>
    </w:pPr>
  </w:style>
  <w:style w:type="paragraph" w:customStyle="1" w:styleId="ManualNumPar4">
    <w:name w:val="Manual NumPar 4"/>
    <w:basedOn w:val="Normal"/>
    <w:next w:val="Text4"/>
    <w:rsid w:val="008540E0"/>
    <w:pPr>
      <w:ind w:left="850" w:hanging="850"/>
    </w:pPr>
  </w:style>
  <w:style w:type="character" w:customStyle="1" w:styleId="Marker">
    <w:name w:val="Marker"/>
    <w:rsid w:val="008540E0"/>
    <w:rPr>
      <w:color w:val="0000FF"/>
    </w:rPr>
  </w:style>
  <w:style w:type="character" w:customStyle="1" w:styleId="Marker1">
    <w:name w:val="Marker1"/>
    <w:rsid w:val="008540E0"/>
    <w:rPr>
      <w:color w:val="008000"/>
    </w:rPr>
  </w:style>
  <w:style w:type="character" w:customStyle="1" w:styleId="Marker2">
    <w:name w:val="Marker2"/>
    <w:rsid w:val="008540E0"/>
    <w:rPr>
      <w:color w:val="FF0000"/>
    </w:rPr>
  </w:style>
  <w:style w:type="paragraph" w:customStyle="1" w:styleId="Nomdelinstitution">
    <w:name w:val="Nom de l'institution"/>
    <w:basedOn w:val="Normal"/>
    <w:next w:val="Emission"/>
    <w:rsid w:val="008540E0"/>
    <w:pPr>
      <w:spacing w:before="0" w:after="0"/>
      <w:jc w:val="left"/>
    </w:pPr>
    <w:rPr>
      <w:rFonts w:ascii="Arial" w:hAnsi="Arial" w:cs="Arial"/>
    </w:rPr>
  </w:style>
  <w:style w:type="paragraph" w:customStyle="1" w:styleId="NormalCentered">
    <w:name w:val="Normal Centered"/>
    <w:basedOn w:val="Normal"/>
    <w:rsid w:val="008540E0"/>
    <w:pPr>
      <w:jc w:val="center"/>
    </w:pPr>
  </w:style>
  <w:style w:type="paragraph" w:customStyle="1" w:styleId="NormalLeft">
    <w:name w:val="Normal Left"/>
    <w:basedOn w:val="Normal"/>
    <w:rsid w:val="008540E0"/>
    <w:pPr>
      <w:jc w:val="left"/>
    </w:pPr>
  </w:style>
  <w:style w:type="paragraph" w:customStyle="1" w:styleId="NormalRight">
    <w:name w:val="Normal Right"/>
    <w:basedOn w:val="Normal"/>
    <w:rsid w:val="008540E0"/>
    <w:pPr>
      <w:jc w:val="right"/>
    </w:pPr>
  </w:style>
  <w:style w:type="paragraph" w:customStyle="1" w:styleId="NumPar1">
    <w:name w:val="NumPar 1"/>
    <w:basedOn w:val="Normal"/>
    <w:next w:val="Text1"/>
    <w:rsid w:val="008540E0"/>
    <w:pPr>
      <w:numPr>
        <w:numId w:val="18"/>
      </w:numPr>
    </w:pPr>
  </w:style>
  <w:style w:type="paragraph" w:customStyle="1" w:styleId="NumPar2">
    <w:name w:val="NumPar 2"/>
    <w:basedOn w:val="Normal"/>
    <w:next w:val="Text2"/>
    <w:rsid w:val="008540E0"/>
    <w:pPr>
      <w:numPr>
        <w:ilvl w:val="1"/>
        <w:numId w:val="18"/>
      </w:numPr>
    </w:pPr>
  </w:style>
  <w:style w:type="paragraph" w:customStyle="1" w:styleId="NumPar3">
    <w:name w:val="NumPar 3"/>
    <w:basedOn w:val="Normal"/>
    <w:next w:val="Text3"/>
    <w:rsid w:val="008540E0"/>
    <w:pPr>
      <w:numPr>
        <w:ilvl w:val="2"/>
        <w:numId w:val="18"/>
      </w:numPr>
    </w:pPr>
  </w:style>
  <w:style w:type="paragraph" w:customStyle="1" w:styleId="NumPar4">
    <w:name w:val="NumPar 4"/>
    <w:basedOn w:val="Normal"/>
    <w:next w:val="Text4"/>
    <w:rsid w:val="008540E0"/>
    <w:pPr>
      <w:numPr>
        <w:ilvl w:val="3"/>
        <w:numId w:val="18"/>
      </w:numPr>
    </w:pPr>
  </w:style>
  <w:style w:type="paragraph" w:customStyle="1" w:styleId="Objetexterne">
    <w:name w:val="Objet externe"/>
    <w:basedOn w:val="Normal"/>
    <w:next w:val="Normal"/>
    <w:rsid w:val="008540E0"/>
    <w:rPr>
      <w:i/>
      <w:caps/>
    </w:rPr>
  </w:style>
  <w:style w:type="paragraph" w:customStyle="1" w:styleId="PartTitle">
    <w:name w:val="PartTitle"/>
    <w:basedOn w:val="Normal"/>
    <w:next w:val="ChapterTitle"/>
    <w:rsid w:val="008540E0"/>
    <w:pPr>
      <w:keepNext/>
      <w:pageBreakBefore/>
      <w:spacing w:after="360"/>
      <w:jc w:val="center"/>
    </w:pPr>
    <w:rPr>
      <w:b/>
      <w:sz w:val="36"/>
    </w:rPr>
  </w:style>
  <w:style w:type="paragraph" w:customStyle="1" w:styleId="Personnequisigne">
    <w:name w:val="Personne qui signe"/>
    <w:basedOn w:val="Normal"/>
    <w:next w:val="Institutionquisigne"/>
    <w:rsid w:val="008540E0"/>
    <w:pPr>
      <w:tabs>
        <w:tab w:val="left" w:pos="4252"/>
      </w:tabs>
      <w:spacing w:before="0" w:after="0"/>
      <w:jc w:val="left"/>
    </w:pPr>
    <w:rPr>
      <w:i/>
    </w:rPr>
  </w:style>
  <w:style w:type="paragraph" w:customStyle="1" w:styleId="Phrasefinale">
    <w:name w:val="Phrase finale"/>
    <w:basedOn w:val="Normal"/>
    <w:next w:val="Normal"/>
    <w:rsid w:val="008540E0"/>
    <w:pPr>
      <w:spacing w:before="360" w:after="0"/>
      <w:jc w:val="center"/>
    </w:pPr>
  </w:style>
  <w:style w:type="paragraph" w:customStyle="1" w:styleId="Point0">
    <w:name w:val="Point 0"/>
    <w:basedOn w:val="Normal"/>
    <w:rsid w:val="008540E0"/>
    <w:pPr>
      <w:ind w:left="850" w:hanging="850"/>
    </w:pPr>
  </w:style>
  <w:style w:type="paragraph" w:customStyle="1" w:styleId="Point1">
    <w:name w:val="Point 1"/>
    <w:basedOn w:val="Normal"/>
    <w:rsid w:val="008540E0"/>
    <w:pPr>
      <w:ind w:left="1417" w:hanging="567"/>
    </w:pPr>
  </w:style>
  <w:style w:type="paragraph" w:customStyle="1" w:styleId="Point2">
    <w:name w:val="Point 2"/>
    <w:basedOn w:val="Normal"/>
    <w:rsid w:val="008540E0"/>
    <w:pPr>
      <w:ind w:left="1984" w:hanging="567"/>
    </w:pPr>
  </w:style>
  <w:style w:type="paragraph" w:customStyle="1" w:styleId="Point3">
    <w:name w:val="Point 3"/>
    <w:basedOn w:val="Normal"/>
    <w:rsid w:val="008540E0"/>
    <w:pPr>
      <w:ind w:left="2551" w:hanging="567"/>
    </w:pPr>
  </w:style>
  <w:style w:type="paragraph" w:customStyle="1" w:styleId="Point4">
    <w:name w:val="Point 4"/>
    <w:basedOn w:val="Normal"/>
    <w:rsid w:val="008540E0"/>
    <w:pPr>
      <w:ind w:left="3118" w:hanging="567"/>
    </w:pPr>
  </w:style>
  <w:style w:type="paragraph" w:customStyle="1" w:styleId="PointDouble0">
    <w:name w:val="PointDouble 0"/>
    <w:basedOn w:val="Normal"/>
    <w:rsid w:val="008540E0"/>
    <w:pPr>
      <w:tabs>
        <w:tab w:val="left" w:pos="850"/>
      </w:tabs>
      <w:ind w:left="1417" w:hanging="1417"/>
    </w:pPr>
  </w:style>
  <w:style w:type="paragraph" w:customStyle="1" w:styleId="PointDouble1">
    <w:name w:val="PointDouble 1"/>
    <w:basedOn w:val="Normal"/>
    <w:rsid w:val="008540E0"/>
    <w:pPr>
      <w:tabs>
        <w:tab w:val="left" w:pos="1417"/>
      </w:tabs>
      <w:ind w:left="1984" w:hanging="1134"/>
    </w:pPr>
  </w:style>
  <w:style w:type="paragraph" w:customStyle="1" w:styleId="PointDouble2">
    <w:name w:val="PointDouble 2"/>
    <w:basedOn w:val="Normal"/>
    <w:rsid w:val="008540E0"/>
    <w:pPr>
      <w:tabs>
        <w:tab w:val="left" w:pos="1984"/>
      </w:tabs>
      <w:ind w:left="2551" w:hanging="1134"/>
    </w:pPr>
  </w:style>
  <w:style w:type="paragraph" w:customStyle="1" w:styleId="PointDouble3">
    <w:name w:val="PointDouble 3"/>
    <w:basedOn w:val="Normal"/>
    <w:rsid w:val="008540E0"/>
    <w:pPr>
      <w:tabs>
        <w:tab w:val="left" w:pos="2551"/>
      </w:tabs>
      <w:ind w:left="3118" w:hanging="1134"/>
    </w:pPr>
  </w:style>
  <w:style w:type="paragraph" w:customStyle="1" w:styleId="PointDouble4">
    <w:name w:val="PointDouble 4"/>
    <w:basedOn w:val="Normal"/>
    <w:rsid w:val="008540E0"/>
    <w:pPr>
      <w:tabs>
        <w:tab w:val="left" w:pos="3118"/>
      </w:tabs>
      <w:ind w:left="3685" w:hanging="1134"/>
    </w:pPr>
  </w:style>
  <w:style w:type="paragraph" w:customStyle="1" w:styleId="PointTriple0">
    <w:name w:val="PointTriple 0"/>
    <w:basedOn w:val="Normal"/>
    <w:rsid w:val="008540E0"/>
    <w:pPr>
      <w:tabs>
        <w:tab w:val="left" w:pos="850"/>
        <w:tab w:val="left" w:pos="1417"/>
      </w:tabs>
      <w:ind w:left="1984" w:hanging="1984"/>
    </w:pPr>
  </w:style>
  <w:style w:type="paragraph" w:customStyle="1" w:styleId="PointTriple1">
    <w:name w:val="PointTriple 1"/>
    <w:basedOn w:val="Normal"/>
    <w:rsid w:val="008540E0"/>
    <w:pPr>
      <w:tabs>
        <w:tab w:val="left" w:pos="1417"/>
        <w:tab w:val="left" w:pos="1984"/>
      </w:tabs>
      <w:ind w:left="2551" w:hanging="1701"/>
    </w:pPr>
  </w:style>
  <w:style w:type="paragraph" w:customStyle="1" w:styleId="PointTriple2">
    <w:name w:val="PointTriple 2"/>
    <w:basedOn w:val="Normal"/>
    <w:rsid w:val="008540E0"/>
    <w:pPr>
      <w:tabs>
        <w:tab w:val="left" w:pos="1984"/>
        <w:tab w:val="left" w:pos="2551"/>
      </w:tabs>
      <w:ind w:left="3118" w:hanging="1701"/>
    </w:pPr>
  </w:style>
  <w:style w:type="paragraph" w:customStyle="1" w:styleId="PointTriple3">
    <w:name w:val="PointTriple 3"/>
    <w:basedOn w:val="Normal"/>
    <w:rsid w:val="008540E0"/>
    <w:pPr>
      <w:tabs>
        <w:tab w:val="left" w:pos="2551"/>
        <w:tab w:val="left" w:pos="3118"/>
      </w:tabs>
      <w:ind w:left="3685" w:hanging="1701"/>
    </w:pPr>
  </w:style>
  <w:style w:type="paragraph" w:customStyle="1" w:styleId="PointTriple4">
    <w:name w:val="PointTriple 4"/>
    <w:basedOn w:val="Normal"/>
    <w:rsid w:val="008540E0"/>
    <w:pPr>
      <w:tabs>
        <w:tab w:val="left" w:pos="3118"/>
        <w:tab w:val="left" w:pos="3685"/>
      </w:tabs>
      <w:ind w:left="4252" w:hanging="1701"/>
    </w:pPr>
  </w:style>
  <w:style w:type="paragraph" w:customStyle="1" w:styleId="Prliminairetitre">
    <w:name w:val="Préliminaire titre"/>
    <w:basedOn w:val="Normal"/>
    <w:next w:val="Normal"/>
    <w:rsid w:val="008540E0"/>
    <w:pPr>
      <w:spacing w:before="360" w:after="360"/>
      <w:jc w:val="center"/>
    </w:pPr>
    <w:rPr>
      <w:b/>
    </w:rPr>
  </w:style>
  <w:style w:type="paragraph" w:customStyle="1" w:styleId="Prliminairetype">
    <w:name w:val="Préliminaire type"/>
    <w:basedOn w:val="Normal"/>
    <w:next w:val="Normal"/>
    <w:rsid w:val="008540E0"/>
    <w:pPr>
      <w:spacing w:before="360" w:after="0"/>
      <w:jc w:val="center"/>
    </w:pPr>
    <w:rPr>
      <w:b/>
    </w:rPr>
  </w:style>
  <w:style w:type="paragraph" w:customStyle="1" w:styleId="QuotedNumPar">
    <w:name w:val="Quoted NumPar"/>
    <w:basedOn w:val="Normal"/>
    <w:rsid w:val="008540E0"/>
    <w:pPr>
      <w:ind w:left="1417" w:hanging="567"/>
    </w:pPr>
  </w:style>
  <w:style w:type="paragraph" w:customStyle="1" w:styleId="QuotedText">
    <w:name w:val="Quoted Text"/>
    <w:basedOn w:val="Normal"/>
    <w:rsid w:val="008540E0"/>
    <w:pPr>
      <w:ind w:left="1417"/>
    </w:pPr>
  </w:style>
  <w:style w:type="paragraph" w:customStyle="1" w:styleId="Rfrenceinstitutionelle">
    <w:name w:val="Référence institutionelle"/>
    <w:basedOn w:val="Normal"/>
    <w:next w:val="Normal"/>
    <w:rsid w:val="008540E0"/>
    <w:pPr>
      <w:spacing w:before="0" w:after="240"/>
      <w:ind w:left="5103"/>
      <w:jc w:val="left"/>
    </w:pPr>
  </w:style>
  <w:style w:type="paragraph" w:customStyle="1" w:styleId="Rfrenceinterinstitutionelle">
    <w:name w:val="Référence interinstitutionelle"/>
    <w:basedOn w:val="Normal"/>
    <w:next w:val="Normal"/>
    <w:rsid w:val="008540E0"/>
    <w:pPr>
      <w:spacing w:before="0" w:after="0"/>
      <w:ind w:left="5103"/>
      <w:jc w:val="left"/>
    </w:pPr>
  </w:style>
  <w:style w:type="paragraph" w:customStyle="1" w:styleId="Rfrenceinterinstitutionelleprliminaire">
    <w:name w:val="Référence interinstitutionelle (préliminaire)"/>
    <w:basedOn w:val="Normal"/>
    <w:next w:val="Normal"/>
    <w:rsid w:val="008540E0"/>
    <w:pPr>
      <w:spacing w:before="0" w:after="0"/>
      <w:ind w:left="5103"/>
      <w:jc w:val="left"/>
    </w:pPr>
  </w:style>
  <w:style w:type="paragraph" w:customStyle="1" w:styleId="Rfrenceinterne">
    <w:name w:val="Référence interne"/>
    <w:basedOn w:val="Normal"/>
    <w:next w:val="Nomdelinstitution"/>
    <w:rsid w:val="008540E0"/>
    <w:pPr>
      <w:spacing w:before="0" w:after="600"/>
      <w:jc w:val="center"/>
    </w:pPr>
    <w:rPr>
      <w:b/>
    </w:rPr>
  </w:style>
  <w:style w:type="paragraph" w:customStyle="1" w:styleId="SectionTitle">
    <w:name w:val="SectionTitle"/>
    <w:basedOn w:val="Normal"/>
    <w:next w:val="Heading1"/>
    <w:rsid w:val="008540E0"/>
    <w:pPr>
      <w:keepNext/>
      <w:spacing w:after="360"/>
      <w:jc w:val="center"/>
    </w:pPr>
    <w:rPr>
      <w:b/>
      <w:smallCaps/>
      <w:sz w:val="28"/>
    </w:rPr>
  </w:style>
  <w:style w:type="paragraph" w:customStyle="1" w:styleId="Sous-titreobjet">
    <w:name w:val="Sous-titre objet"/>
    <w:basedOn w:val="Normal"/>
    <w:rsid w:val="008540E0"/>
    <w:pPr>
      <w:spacing w:before="0" w:after="0"/>
      <w:jc w:val="center"/>
    </w:pPr>
    <w:rPr>
      <w:b/>
    </w:rPr>
  </w:style>
  <w:style w:type="paragraph" w:customStyle="1" w:styleId="Sous-titreobjetprliminaire">
    <w:name w:val="Sous-titre objet (préliminaire)"/>
    <w:basedOn w:val="Normal"/>
    <w:rsid w:val="008540E0"/>
    <w:pPr>
      <w:spacing w:before="0" w:after="0"/>
      <w:jc w:val="center"/>
    </w:pPr>
    <w:rPr>
      <w:b/>
    </w:rPr>
  </w:style>
  <w:style w:type="paragraph" w:customStyle="1" w:styleId="Statut">
    <w:name w:val="Statut"/>
    <w:basedOn w:val="Normal"/>
    <w:next w:val="Normal"/>
    <w:rsid w:val="008540E0"/>
    <w:pPr>
      <w:spacing w:before="360" w:after="0"/>
      <w:jc w:val="center"/>
    </w:pPr>
  </w:style>
  <w:style w:type="paragraph" w:customStyle="1" w:styleId="Statutprliminaire">
    <w:name w:val="Statut (préliminaire)"/>
    <w:basedOn w:val="Normal"/>
    <w:next w:val="Normal"/>
    <w:rsid w:val="008540E0"/>
    <w:pPr>
      <w:spacing w:before="360" w:after="0"/>
      <w:jc w:val="center"/>
    </w:pPr>
  </w:style>
  <w:style w:type="paragraph" w:customStyle="1" w:styleId="TableTitle">
    <w:name w:val="Table Title"/>
    <w:basedOn w:val="Normal"/>
    <w:next w:val="Normal"/>
    <w:rsid w:val="008540E0"/>
    <w:pPr>
      <w:jc w:val="center"/>
    </w:pPr>
    <w:rPr>
      <w:b/>
    </w:rPr>
  </w:style>
  <w:style w:type="paragraph" w:customStyle="1" w:styleId="Tiret0">
    <w:name w:val="Tiret 0"/>
    <w:basedOn w:val="Point0"/>
    <w:rsid w:val="008540E0"/>
    <w:pPr>
      <w:numPr>
        <w:numId w:val="19"/>
      </w:numPr>
    </w:pPr>
  </w:style>
  <w:style w:type="paragraph" w:customStyle="1" w:styleId="Tiret1">
    <w:name w:val="Tiret 1"/>
    <w:basedOn w:val="Point1"/>
    <w:rsid w:val="008540E0"/>
    <w:pPr>
      <w:numPr>
        <w:numId w:val="20"/>
      </w:numPr>
    </w:pPr>
  </w:style>
  <w:style w:type="paragraph" w:customStyle="1" w:styleId="Tiret2">
    <w:name w:val="Tiret 2"/>
    <w:basedOn w:val="Point2"/>
    <w:rsid w:val="008540E0"/>
    <w:pPr>
      <w:numPr>
        <w:numId w:val="21"/>
      </w:numPr>
    </w:pPr>
  </w:style>
  <w:style w:type="paragraph" w:customStyle="1" w:styleId="Tiret3">
    <w:name w:val="Tiret 3"/>
    <w:basedOn w:val="Point3"/>
    <w:rsid w:val="008540E0"/>
    <w:pPr>
      <w:numPr>
        <w:numId w:val="22"/>
      </w:numPr>
    </w:pPr>
  </w:style>
  <w:style w:type="paragraph" w:customStyle="1" w:styleId="Tiret4">
    <w:name w:val="Tiret 4"/>
    <w:basedOn w:val="Point4"/>
    <w:rsid w:val="008540E0"/>
    <w:pPr>
      <w:numPr>
        <w:numId w:val="23"/>
      </w:numPr>
    </w:pPr>
  </w:style>
  <w:style w:type="paragraph" w:customStyle="1" w:styleId="Titrearticle">
    <w:name w:val="Titre article"/>
    <w:basedOn w:val="Normal"/>
    <w:next w:val="Normal"/>
    <w:rsid w:val="008540E0"/>
    <w:pPr>
      <w:keepNext/>
      <w:spacing w:before="360"/>
      <w:jc w:val="center"/>
    </w:pPr>
    <w:rPr>
      <w:i/>
    </w:rPr>
  </w:style>
  <w:style w:type="paragraph" w:customStyle="1" w:styleId="Titreobjet">
    <w:name w:val="Titre objet"/>
    <w:basedOn w:val="Normal"/>
    <w:next w:val="Sous-titreobjet"/>
    <w:rsid w:val="008540E0"/>
    <w:pPr>
      <w:spacing w:before="360" w:after="360"/>
      <w:jc w:val="center"/>
    </w:pPr>
    <w:rPr>
      <w:b/>
    </w:rPr>
  </w:style>
  <w:style w:type="paragraph" w:customStyle="1" w:styleId="Titreobjetprliminaire">
    <w:name w:val="Titre objet (préliminaire)"/>
    <w:basedOn w:val="Normal"/>
    <w:next w:val="Normal"/>
    <w:rsid w:val="008540E0"/>
    <w:pPr>
      <w:spacing w:before="360" w:after="360"/>
      <w:jc w:val="center"/>
    </w:pPr>
    <w:rPr>
      <w:b/>
    </w:rPr>
  </w:style>
  <w:style w:type="paragraph" w:styleId="TOC1">
    <w:name w:val="toc 1"/>
    <w:basedOn w:val="Normal"/>
    <w:next w:val="Normal"/>
    <w:semiHidden/>
    <w:rsid w:val="008540E0"/>
    <w:pPr>
      <w:tabs>
        <w:tab w:val="right" w:leader="dot" w:pos="9071"/>
      </w:tabs>
      <w:spacing w:before="60"/>
      <w:ind w:left="850" w:hanging="850"/>
      <w:jc w:val="left"/>
    </w:pPr>
  </w:style>
  <w:style w:type="paragraph" w:styleId="TOC2">
    <w:name w:val="toc 2"/>
    <w:basedOn w:val="Normal"/>
    <w:next w:val="Normal"/>
    <w:semiHidden/>
    <w:rsid w:val="008540E0"/>
    <w:pPr>
      <w:tabs>
        <w:tab w:val="right" w:leader="dot" w:pos="9071"/>
      </w:tabs>
      <w:spacing w:before="60"/>
      <w:ind w:left="850" w:hanging="850"/>
      <w:jc w:val="left"/>
    </w:pPr>
  </w:style>
  <w:style w:type="paragraph" w:styleId="TOC3">
    <w:name w:val="toc 3"/>
    <w:basedOn w:val="Normal"/>
    <w:next w:val="Normal"/>
    <w:semiHidden/>
    <w:rsid w:val="008540E0"/>
    <w:pPr>
      <w:tabs>
        <w:tab w:val="right" w:leader="dot" w:pos="9071"/>
      </w:tabs>
      <w:spacing w:before="60"/>
      <w:ind w:left="850" w:hanging="850"/>
      <w:jc w:val="left"/>
    </w:pPr>
  </w:style>
  <w:style w:type="paragraph" w:styleId="TOC4">
    <w:name w:val="toc 4"/>
    <w:basedOn w:val="Normal"/>
    <w:next w:val="Normal"/>
    <w:semiHidden/>
    <w:rsid w:val="008540E0"/>
    <w:pPr>
      <w:tabs>
        <w:tab w:val="right" w:leader="dot" w:pos="9071"/>
      </w:tabs>
      <w:spacing w:before="60"/>
      <w:ind w:left="850" w:hanging="850"/>
      <w:jc w:val="left"/>
    </w:pPr>
  </w:style>
  <w:style w:type="paragraph" w:styleId="TOC5">
    <w:name w:val="toc 5"/>
    <w:basedOn w:val="Normal"/>
    <w:next w:val="Normal"/>
    <w:semiHidden/>
    <w:rsid w:val="008540E0"/>
    <w:pPr>
      <w:tabs>
        <w:tab w:val="right" w:leader="dot" w:pos="9071"/>
      </w:tabs>
      <w:spacing w:before="300"/>
      <w:jc w:val="left"/>
    </w:pPr>
  </w:style>
  <w:style w:type="paragraph" w:styleId="TOC6">
    <w:name w:val="toc 6"/>
    <w:basedOn w:val="Normal"/>
    <w:next w:val="Normal"/>
    <w:semiHidden/>
    <w:rsid w:val="008540E0"/>
    <w:pPr>
      <w:tabs>
        <w:tab w:val="right" w:leader="dot" w:pos="9071"/>
      </w:tabs>
      <w:spacing w:before="240"/>
      <w:jc w:val="left"/>
    </w:pPr>
  </w:style>
  <w:style w:type="paragraph" w:styleId="TOC7">
    <w:name w:val="toc 7"/>
    <w:basedOn w:val="Normal"/>
    <w:next w:val="Normal"/>
    <w:semiHidden/>
    <w:rsid w:val="008540E0"/>
    <w:pPr>
      <w:tabs>
        <w:tab w:val="right" w:leader="dot" w:pos="9071"/>
      </w:tabs>
      <w:spacing w:before="180"/>
      <w:jc w:val="left"/>
    </w:pPr>
  </w:style>
  <w:style w:type="paragraph" w:styleId="TOC8">
    <w:name w:val="toc 8"/>
    <w:basedOn w:val="Normal"/>
    <w:next w:val="Normal"/>
    <w:semiHidden/>
    <w:rsid w:val="008540E0"/>
    <w:pPr>
      <w:tabs>
        <w:tab w:val="right" w:leader="dot" w:pos="9071"/>
      </w:tabs>
      <w:jc w:val="left"/>
    </w:pPr>
  </w:style>
  <w:style w:type="paragraph" w:styleId="TOC9">
    <w:name w:val="toc 9"/>
    <w:basedOn w:val="Normal"/>
    <w:next w:val="Normal"/>
    <w:semiHidden/>
    <w:rsid w:val="008540E0"/>
    <w:pPr>
      <w:tabs>
        <w:tab w:val="right" w:leader="dot" w:pos="9071"/>
      </w:tabs>
    </w:pPr>
  </w:style>
  <w:style w:type="paragraph" w:styleId="TOCHeading">
    <w:name w:val="TOC Heading"/>
    <w:basedOn w:val="Normal"/>
    <w:next w:val="Normal"/>
    <w:qFormat/>
    <w:rsid w:val="008540E0"/>
    <w:pPr>
      <w:spacing w:after="240"/>
      <w:jc w:val="center"/>
    </w:pPr>
    <w:rPr>
      <w:b/>
      <w:sz w:val="28"/>
    </w:rPr>
  </w:style>
  <w:style w:type="paragraph" w:customStyle="1" w:styleId="Typedudocument">
    <w:name w:val="Type du document"/>
    <w:basedOn w:val="Normal"/>
    <w:next w:val="Datedadoption"/>
    <w:rsid w:val="008540E0"/>
    <w:pPr>
      <w:spacing w:before="360" w:after="0"/>
      <w:jc w:val="center"/>
    </w:pPr>
    <w:rPr>
      <w:b/>
    </w:rPr>
  </w:style>
  <w:style w:type="paragraph" w:customStyle="1" w:styleId="Typedudocumentprliminaire">
    <w:name w:val="Type du document (préliminaire)"/>
    <w:basedOn w:val="Normal"/>
    <w:next w:val="Normal"/>
    <w:rsid w:val="008540E0"/>
    <w:pPr>
      <w:spacing w:before="360" w:after="0"/>
      <w:jc w:val="center"/>
    </w:pPr>
    <w:rPr>
      <w:b/>
    </w:rPr>
  </w:style>
  <w:style w:type="paragraph" w:customStyle="1" w:styleId="NormalIndent1">
    <w:name w:val="Normal Indent 1"/>
    <w:basedOn w:val="NormalIndent"/>
    <w:autoRedefine/>
    <w:semiHidden/>
    <w:rsid w:val="008540E0"/>
    <w:pPr>
      <w:numPr>
        <w:ilvl w:val="1"/>
        <w:numId w:val="24"/>
      </w:numPr>
      <w:spacing w:before="100" w:beforeAutospacing="1" w:after="100" w:afterAutospacing="1"/>
      <w:jc w:val="left"/>
    </w:pPr>
    <w:rPr>
      <w:rFonts w:ascii="Times New Roman" w:hAnsi="Times New Roman" w:cs="Times New Roman"/>
      <w:b/>
      <w:smallCaps/>
      <w:sz w:val="24"/>
      <w:szCs w:val="24"/>
      <w:lang w:val="en-US" w:eastAsia="en-GB"/>
    </w:rPr>
  </w:style>
  <w:style w:type="paragraph" w:styleId="Title">
    <w:name w:val="Title"/>
    <w:basedOn w:val="Normal"/>
    <w:qFormat/>
    <w:rsid w:val="008540E0"/>
    <w:pPr>
      <w:spacing w:before="0" w:after="0"/>
      <w:jc w:val="center"/>
    </w:pPr>
    <w:rPr>
      <w:b/>
      <w:sz w:val="36"/>
      <w:szCs w:val="20"/>
      <w:lang w:eastAsia="en-US"/>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semiHidden/>
    <w:rsid w:val="008540E0"/>
    <w:pPr>
      <w:spacing w:before="0" w:after="0"/>
      <w:jc w:val="left"/>
    </w:pPr>
    <w:rPr>
      <w:b/>
      <w:szCs w:val="20"/>
      <w:lang w:val="en-US" w:eastAsia="en-GB"/>
    </w:rPr>
  </w:style>
  <w:style w:type="character" w:styleId="Hyperlink">
    <w:name w:val="Hyperlink"/>
    <w:semiHidden/>
    <w:rsid w:val="008540E0"/>
    <w:rPr>
      <w:rFonts w:cs="Times New Roman"/>
      <w:color w:val="0000FF"/>
      <w:u w:val="single"/>
    </w:rPr>
  </w:style>
  <w:style w:type="character" w:styleId="PageNumber">
    <w:name w:val="page number"/>
    <w:semiHidden/>
    <w:rsid w:val="008540E0"/>
    <w:rPr>
      <w:rFonts w:cs="Times New Roman"/>
    </w:rPr>
  </w:style>
  <w:style w:type="paragraph" w:customStyle="1" w:styleId="Default">
    <w:name w:val="Default"/>
    <w:rsid w:val="008540E0"/>
    <w:pPr>
      <w:autoSpaceDE w:val="0"/>
      <w:autoSpaceDN w:val="0"/>
      <w:adjustRightInd w:val="0"/>
    </w:pPr>
    <w:rPr>
      <w:color w:val="000000"/>
      <w:sz w:val="24"/>
      <w:szCs w:val="24"/>
      <w:lang w:val="de-AT" w:eastAsia="en-US"/>
    </w:rPr>
  </w:style>
  <w:style w:type="paragraph" w:customStyle="1" w:styleId="IPAPG-AnnexTitle">
    <w:name w:val="IPA PG - Annex Title"/>
    <w:basedOn w:val="Normal"/>
    <w:rsid w:val="008540E0"/>
    <w:pPr>
      <w:pBdr>
        <w:top w:val="single" w:sz="4" w:space="1" w:color="auto"/>
        <w:left w:val="single" w:sz="4" w:space="4" w:color="auto"/>
        <w:bottom w:val="single" w:sz="4" w:space="1" w:color="auto"/>
        <w:right w:val="single" w:sz="4" w:space="4" w:color="auto"/>
      </w:pBdr>
      <w:shd w:val="clear" w:color="auto" w:fill="D9D9D9"/>
      <w:spacing w:before="0" w:after="240"/>
    </w:pPr>
    <w:rPr>
      <w:rFonts w:ascii="Times New Roman Bold" w:hAnsi="Times New Roman Bold"/>
      <w:sz w:val="32"/>
      <w:szCs w:val="32"/>
      <w:lang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ocked/>
    <w:rsid w:val="008540E0"/>
    <w:rPr>
      <w:b/>
      <w:sz w:val="24"/>
      <w:lang w:val="en-US" w:eastAsia="en-GB" w:bidi="ar-SA"/>
    </w:rPr>
  </w:style>
  <w:style w:type="paragraph" w:customStyle="1" w:styleId="Char2CharCharCharCharCharCharCharCharChar">
    <w:name w:val="Char2 Char Char Char Char Char Char Char Char Char"/>
    <w:basedOn w:val="Normal"/>
    <w:rsid w:val="008540E0"/>
    <w:pPr>
      <w:spacing w:before="0" w:after="160" w:line="240" w:lineRule="exact"/>
      <w:jc w:val="left"/>
    </w:pPr>
    <w:rPr>
      <w:rFonts w:ascii="Tahoma" w:hAnsi="Tahoma"/>
      <w:sz w:val="20"/>
      <w:szCs w:val="20"/>
      <w:lang w:val="en-US" w:eastAsia="en-US"/>
    </w:rPr>
  </w:style>
  <w:style w:type="paragraph" w:styleId="NormalIndent">
    <w:name w:val="Normal Indent"/>
    <w:basedOn w:val="Normal"/>
    <w:semiHidden/>
    <w:rsid w:val="008540E0"/>
    <w:pPr>
      <w:ind w:left="720"/>
    </w:pPr>
  </w:style>
  <w:style w:type="character" w:customStyle="1" w:styleId="title2">
    <w:name w:val="title2"/>
    <w:basedOn w:val="DefaultParagraphFont"/>
    <w:rsid w:val="008540E0"/>
  </w:style>
  <w:style w:type="character" w:customStyle="1" w:styleId="title1">
    <w:name w:val="title1"/>
    <w:basedOn w:val="DefaultParagraphFont"/>
    <w:rsid w:val="008540E0"/>
  </w:style>
  <w:style w:type="character" w:styleId="Emphasis">
    <w:name w:val="Emphasis"/>
    <w:uiPriority w:val="20"/>
    <w:qFormat/>
    <w:rsid w:val="008540E0"/>
    <w:rPr>
      <w:i/>
      <w:iCs/>
    </w:rPr>
  </w:style>
  <w:style w:type="character" w:styleId="CommentReference">
    <w:name w:val="annotation reference"/>
    <w:uiPriority w:val="99"/>
    <w:semiHidden/>
    <w:rsid w:val="008540E0"/>
    <w:rPr>
      <w:sz w:val="16"/>
      <w:szCs w:val="16"/>
    </w:rPr>
  </w:style>
  <w:style w:type="paragraph" w:styleId="CommentText">
    <w:name w:val="annotation text"/>
    <w:basedOn w:val="Normal"/>
    <w:rsid w:val="008540E0"/>
    <w:rPr>
      <w:sz w:val="20"/>
      <w:szCs w:val="20"/>
    </w:rPr>
  </w:style>
  <w:style w:type="paragraph" w:styleId="CommentSubject">
    <w:name w:val="annotation subject"/>
    <w:basedOn w:val="CommentText"/>
    <w:next w:val="CommentText"/>
    <w:semiHidden/>
    <w:rsid w:val="008540E0"/>
    <w:rPr>
      <w:b/>
      <w:bCs/>
    </w:rPr>
  </w:style>
  <w:style w:type="paragraph" w:styleId="BalloonText">
    <w:name w:val="Balloon Text"/>
    <w:basedOn w:val="Normal"/>
    <w:semiHidden/>
    <w:rsid w:val="008540E0"/>
    <w:rPr>
      <w:rFonts w:ascii="Tahoma" w:hAnsi="Tahoma" w:cs="Tahoma"/>
      <w:sz w:val="16"/>
      <w:szCs w:val="16"/>
    </w:rPr>
  </w:style>
  <w:style w:type="paragraph" w:customStyle="1" w:styleId="Liststycke">
    <w:name w:val="Liststycke"/>
    <w:basedOn w:val="Normal"/>
    <w:qFormat/>
    <w:rsid w:val="008540E0"/>
    <w:pPr>
      <w:spacing w:before="0" w:after="200" w:line="276" w:lineRule="auto"/>
      <w:ind w:left="720"/>
      <w:contextualSpacing/>
      <w:jc w:val="left"/>
    </w:pPr>
    <w:rPr>
      <w:rFonts w:ascii="Calibri" w:eastAsia="Calibri" w:hAnsi="Calibri" w:cs="Arial"/>
      <w:lang w:val="sv-SE" w:eastAsia="en-US" w:bidi="he-IL"/>
    </w:rPr>
  </w:style>
  <w:style w:type="character" w:styleId="Strong">
    <w:name w:val="Strong"/>
    <w:qFormat/>
    <w:rsid w:val="008540E0"/>
    <w:rPr>
      <w:b/>
      <w:bCs/>
    </w:rPr>
  </w:style>
  <w:style w:type="paragraph" w:customStyle="1" w:styleId="1">
    <w:name w:val="1"/>
    <w:basedOn w:val="Normal"/>
    <w:semiHidden/>
    <w:rsid w:val="008540E0"/>
    <w:pPr>
      <w:spacing w:before="0" w:after="160" w:line="240" w:lineRule="exact"/>
      <w:jc w:val="left"/>
    </w:pPr>
    <w:rPr>
      <w:rFonts w:ascii="Tahoma" w:eastAsia="Times New Roman" w:hAnsi="Tahoma" w:cs="Times New Roman"/>
      <w:sz w:val="20"/>
      <w:szCs w:val="20"/>
      <w:lang w:val="en-US" w:eastAsia="en-US"/>
    </w:rPr>
  </w:style>
  <w:style w:type="paragraph" w:styleId="Subtitle">
    <w:name w:val="Subtitle"/>
    <w:basedOn w:val="Normal"/>
    <w:qFormat/>
    <w:rsid w:val="008540E0"/>
    <w:pPr>
      <w:jc w:val="center"/>
    </w:pPr>
    <w:rPr>
      <w:rFonts w:ascii="Arial" w:eastAsia="Times New Roman" w:hAnsi="Arial" w:cs="Times New Roman"/>
      <w:b/>
      <w:snapToGrid w:val="0"/>
      <w:sz w:val="28"/>
      <w:szCs w:val="20"/>
      <w:lang w:val="fr-BE" w:eastAsia="en-US"/>
    </w:rPr>
  </w:style>
  <w:style w:type="paragraph" w:styleId="NormalWeb">
    <w:name w:val="Normal (Web)"/>
    <w:basedOn w:val="Normal"/>
    <w:uiPriority w:val="99"/>
    <w:semiHidden/>
    <w:rsid w:val="008540E0"/>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sid w:val="008540E0"/>
    <w:rPr>
      <w:rFonts w:ascii="Tunga" w:eastAsia="Arial Unicode MS" w:hAnsi="Tunga" w:cs="Tunga"/>
      <w:sz w:val="22"/>
      <w:szCs w:val="22"/>
      <w:lang w:eastAsia="de-DE"/>
    </w:rPr>
  </w:style>
  <w:style w:type="character" w:customStyle="1" w:styleId="FooterChar">
    <w:name w:val="Footer Char"/>
    <w:uiPriority w:val="99"/>
    <w:rsid w:val="008540E0"/>
    <w:rPr>
      <w:rFonts w:ascii="Tunga" w:eastAsia="Arial Unicode MS" w:hAnsi="Tunga" w:cs="Tunga"/>
      <w:sz w:val="22"/>
      <w:szCs w:val="22"/>
      <w:lang w:eastAsia="de-DE"/>
    </w:rPr>
  </w:style>
  <w:style w:type="paragraph" w:styleId="z-TopofForm">
    <w:name w:val="HTML Top of Form"/>
    <w:basedOn w:val="Normal"/>
    <w:next w:val="Normal"/>
    <w:hidden/>
    <w:rsid w:val="008540E0"/>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rsid w:val="008540E0"/>
    <w:rPr>
      <w:rFonts w:ascii="Arial" w:eastAsia="Arial Unicode MS" w:hAnsi="Arial" w:cs="Arial"/>
      <w:vanish/>
      <w:sz w:val="16"/>
      <w:szCs w:val="16"/>
      <w:lang w:eastAsia="de-DE"/>
    </w:rPr>
  </w:style>
  <w:style w:type="paragraph" w:styleId="z-BottomofForm">
    <w:name w:val="HTML Bottom of Form"/>
    <w:basedOn w:val="Normal"/>
    <w:next w:val="Normal"/>
    <w:hidden/>
    <w:rsid w:val="008540E0"/>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rsid w:val="008540E0"/>
    <w:rPr>
      <w:rFonts w:ascii="Arial" w:eastAsia="Arial Unicode MS" w:hAnsi="Arial" w:cs="Arial"/>
      <w:vanish/>
      <w:sz w:val="16"/>
      <w:szCs w:val="16"/>
      <w:lang w:eastAsia="de-DE"/>
    </w:rPr>
  </w:style>
  <w:style w:type="character" w:customStyle="1" w:styleId="HeaderChar">
    <w:name w:val="Header Char"/>
    <w:rsid w:val="008540E0"/>
    <w:rPr>
      <w:rFonts w:ascii="Tunga" w:eastAsia="Arial Unicode MS" w:hAnsi="Tunga" w:cs="Tunga"/>
      <w:sz w:val="22"/>
      <w:szCs w:val="22"/>
      <w:lang w:eastAsia="de-DE"/>
    </w:rPr>
  </w:style>
  <w:style w:type="character" w:customStyle="1" w:styleId="TitleChar">
    <w:name w:val="Title Char"/>
    <w:rsid w:val="008540E0"/>
    <w:rPr>
      <w:rFonts w:ascii="Tunga" w:eastAsia="Arial Unicode MS" w:hAnsi="Tunga" w:cs="Tunga"/>
      <w:b/>
      <w:sz w:val="36"/>
      <w:lang w:eastAsia="en-US"/>
    </w:rPr>
  </w:style>
  <w:style w:type="character" w:customStyle="1" w:styleId="CommentTextChar">
    <w:name w:val="Comment Text Char"/>
    <w:rsid w:val="008540E0"/>
    <w:rPr>
      <w:rFonts w:ascii="Tunga" w:eastAsia="Arial Unicode MS" w:hAnsi="Tunga" w:cs="Tunga"/>
      <w:lang w:eastAsia="de-DE"/>
    </w:rPr>
  </w:style>
  <w:style w:type="paragraph" w:styleId="BodyText2">
    <w:name w:val="Body Text 2"/>
    <w:basedOn w:val="Normal"/>
    <w:semiHidden/>
    <w:rsid w:val="008540E0"/>
    <w:pPr>
      <w:spacing w:line="480" w:lineRule="auto"/>
    </w:pPr>
  </w:style>
  <w:style w:type="character" w:customStyle="1" w:styleId="BodyText2Char">
    <w:name w:val="Body Text 2 Char"/>
    <w:rsid w:val="008540E0"/>
    <w:rPr>
      <w:rFonts w:ascii="Tunga" w:eastAsia="Arial Unicode MS" w:hAnsi="Tunga" w:cs="Tunga"/>
      <w:sz w:val="22"/>
      <w:szCs w:val="22"/>
      <w:lang w:eastAsia="de-DE"/>
    </w:rPr>
  </w:style>
  <w:style w:type="paragraph" w:customStyle="1" w:styleId="ActionDocument">
    <w:name w:val="Action Document"/>
    <w:basedOn w:val="Normal"/>
    <w:qFormat/>
    <w:rsid w:val="008540E0"/>
    <w:pPr>
      <w:shd w:val="clear" w:color="auto" w:fill="FFFFFF"/>
      <w:ind w:right="58"/>
    </w:pPr>
    <w:rPr>
      <w:rFonts w:ascii="Times New Roman" w:hAnsi="Times New Roman" w:cs="Times New Roman"/>
    </w:rPr>
  </w:style>
  <w:style w:type="character" w:customStyle="1" w:styleId="ActionDocumentChar">
    <w:name w:val="Action Document Char"/>
    <w:rsid w:val="008540E0"/>
    <w:rPr>
      <w:rFonts w:eastAsia="Arial Unicode MS"/>
      <w:sz w:val="22"/>
      <w:szCs w:val="22"/>
      <w:shd w:val="clear" w:color="auto" w:fill="FFFFFF"/>
      <w:lang w:eastAsia="de-DE"/>
    </w:rPr>
  </w:style>
  <w:style w:type="paragraph" w:styleId="Quote">
    <w:name w:val="Quote"/>
    <w:basedOn w:val="ActionDocument"/>
    <w:next w:val="Normal"/>
    <w:qFormat/>
    <w:rsid w:val="008540E0"/>
    <w:pPr>
      <w:spacing w:before="0"/>
      <w:jc w:val="left"/>
    </w:pPr>
    <w:rPr>
      <w:sz w:val="20"/>
    </w:rPr>
  </w:style>
  <w:style w:type="character" w:customStyle="1" w:styleId="QuoteChar">
    <w:name w:val="Quote Char"/>
    <w:rsid w:val="008540E0"/>
    <w:rPr>
      <w:rFonts w:eastAsia="Arial Unicode MS"/>
      <w:szCs w:val="22"/>
      <w:shd w:val="clear" w:color="auto" w:fill="FFFFFF"/>
      <w:lang w:eastAsia="de-DE"/>
    </w:rPr>
  </w:style>
  <w:style w:type="paragraph" w:customStyle="1" w:styleId="Paragrafoelenco">
    <w:name w:val="Paragrafo elenco"/>
    <w:basedOn w:val="Normal"/>
    <w:rsid w:val="008540E0"/>
    <w:pPr>
      <w:widowControl w:val="0"/>
      <w:spacing w:before="0" w:after="0"/>
      <w:ind w:left="838" w:hanging="360"/>
      <w:jc w:val="left"/>
    </w:pPr>
    <w:rPr>
      <w:rFonts w:ascii="Times New Roman" w:eastAsia="Times New Roman" w:hAnsi="Times New Roman"/>
      <w:lang w:val="en-US" w:eastAsia="en-US"/>
    </w:rPr>
  </w:style>
  <w:style w:type="character" w:styleId="FollowedHyperlink">
    <w:name w:val="FollowedHyperlink"/>
    <w:semiHidden/>
    <w:rsid w:val="008540E0"/>
    <w:rPr>
      <w:color w:val="800080"/>
      <w:u w:val="single"/>
    </w:rPr>
  </w:style>
  <w:style w:type="paragraph" w:customStyle="1" w:styleId="ListParagraph1">
    <w:name w:val="List Paragraph1"/>
    <w:aliases w:val="List Paragraph (numbered (a)),Normal 1,List Paragraph 1,Akapit z listą BS,Bullets,NumberedParas,Bullet point,Table of contents numbered,Colorful List - Accent 11,Medium Grid 1 - Accent 21,Numbered List Paragraph,References,List_Paragraph"/>
    <w:basedOn w:val="Normal"/>
    <w:uiPriority w:val="34"/>
    <w:qFormat/>
    <w:rsid w:val="008540E0"/>
    <w:pPr>
      <w:spacing w:before="0" w:after="200" w:line="276" w:lineRule="auto"/>
      <w:ind w:left="720"/>
      <w:jc w:val="left"/>
    </w:pPr>
    <w:rPr>
      <w:rFonts w:ascii="Arial Narrow" w:eastAsia="Times New Roman" w:hAnsi="Arial Narrow"/>
      <w:lang w:val="bs-Latn-BA" w:eastAsia="en-US"/>
    </w:rPr>
  </w:style>
  <w:style w:type="paragraph" w:styleId="BodyText3">
    <w:name w:val="Body Text 3"/>
    <w:basedOn w:val="Normal"/>
    <w:link w:val="BodyText3Char"/>
    <w:semiHidden/>
    <w:rsid w:val="008540E0"/>
    <w:pPr>
      <w:numPr>
        <w:ilvl w:val="12"/>
      </w:numPr>
      <w:spacing w:before="60" w:after="0"/>
      <w:jc w:val="left"/>
    </w:pPr>
    <w:rPr>
      <w:rFonts w:ascii="Times New Roman Bold" w:hAnsi="Times New Roman Bold"/>
      <w:b/>
      <w:sz w:val="14"/>
      <w:szCs w:val="14"/>
      <w:lang w:val="mk-MK"/>
    </w:rPr>
  </w:style>
  <w:style w:type="character" w:customStyle="1" w:styleId="FootnoteTextCharCharCharChar">
    <w:name w:val="Footnote Text Char Char Char Char"/>
    <w:aliases w:val="Footnote Text Char Char Char1,Fußnote Char,Footnote Char,Footnote Text Char1 Char Char,Footnote Text Char1 Char Char Char Char,Footnote Text Char Char Char Char Char Char,Fußnotentextf Char,Footnote Text Blue Char,fn Ch"/>
    <w:semiHidden/>
    <w:rsid w:val="008540E0"/>
    <w:rPr>
      <w:rFonts w:ascii="Tunga" w:eastAsia="Arial Unicode MS" w:hAnsi="Tunga" w:cs="Tunga"/>
      <w:lang w:val="en-GB" w:eastAsia="de-DE"/>
    </w:rPr>
  </w:style>
  <w:style w:type="character" w:customStyle="1" w:styleId="Heading8Char">
    <w:name w:val="Heading 8 Char"/>
    <w:rsid w:val="008540E0"/>
    <w:rPr>
      <w:rFonts w:eastAsia="Arial Unicode MS" w:cs="Tunga"/>
      <w:b/>
      <w:bCs/>
      <w:sz w:val="22"/>
      <w:szCs w:val="22"/>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rsid w:val="008540E0"/>
    <w:pPr>
      <w:spacing w:after="160" w:line="240" w:lineRule="exact"/>
    </w:pPr>
    <w:rPr>
      <w:rFonts w:ascii="Times New Roman" w:eastAsia="Times New Roman" w:hAnsi="Times New Roman" w:cs="Times New Roman"/>
      <w:sz w:val="20"/>
      <w:szCs w:val="20"/>
      <w:vertAlign w:val="superscript"/>
      <w:lang w:val="en-US" w:eastAsia="en-US"/>
    </w:rPr>
  </w:style>
  <w:style w:type="character" w:customStyle="1" w:styleId="ListParagraphChar">
    <w:name w:val="List Paragraph Char"/>
    <w:locked/>
    <w:rsid w:val="008540E0"/>
    <w:rPr>
      <w:rFonts w:ascii="Arial Narrow" w:hAnsi="Arial Narrow"/>
      <w:szCs w:val="24"/>
      <w:lang w:val="bs-Latn-BA"/>
    </w:rPr>
  </w:style>
  <w:style w:type="paragraph" w:styleId="ListParagraph">
    <w:name w:val="List Paragraph"/>
    <w:basedOn w:val="Normal"/>
    <w:uiPriority w:val="99"/>
    <w:qFormat/>
    <w:rsid w:val="008540E0"/>
    <w:pPr>
      <w:ind w:left="720"/>
    </w:pPr>
    <w:rPr>
      <w:rFonts w:ascii="Arial Narrow" w:eastAsia="Times New Roman" w:hAnsi="Arial Narrow" w:cs="Times New Roman"/>
      <w:sz w:val="20"/>
      <w:szCs w:val="24"/>
      <w:lang w:val="bs-Latn-BA" w:eastAsia="en-US"/>
    </w:rPr>
  </w:style>
  <w:style w:type="character" w:customStyle="1" w:styleId="shorttext">
    <w:name w:val="short_text"/>
    <w:rsid w:val="008540E0"/>
    <w:rPr>
      <w:rFonts w:cs="Times New Roman"/>
    </w:rPr>
  </w:style>
  <w:style w:type="character" w:customStyle="1" w:styleId="alt-edited">
    <w:name w:val="alt-edited"/>
    <w:rsid w:val="008540E0"/>
  </w:style>
  <w:style w:type="character" w:customStyle="1" w:styleId="ReferenceChar">
    <w:name w:val="Reference Char"/>
    <w:locked/>
    <w:rsid w:val="008540E0"/>
    <w:rPr>
      <w:rFonts w:ascii="Arial Narrow" w:hAnsi="Arial Narrow"/>
      <w:sz w:val="16"/>
      <w:szCs w:val="18"/>
      <w:lang w:val="en-GB" w:eastAsia="en-GB"/>
    </w:rPr>
  </w:style>
  <w:style w:type="paragraph" w:customStyle="1" w:styleId="Reference">
    <w:name w:val="Reference"/>
    <w:basedOn w:val="FootnoteText"/>
    <w:qFormat/>
    <w:rsid w:val="008540E0"/>
    <w:pPr>
      <w:ind w:left="0" w:firstLine="0"/>
      <w:jc w:val="left"/>
    </w:pPr>
    <w:rPr>
      <w:rFonts w:ascii="Arial Narrow" w:eastAsia="Times New Roman" w:hAnsi="Arial Narrow" w:cs="Times New Roman"/>
      <w:sz w:val="16"/>
      <w:szCs w:val="18"/>
      <w:lang w:eastAsia="en-GB"/>
    </w:rPr>
  </w:style>
  <w:style w:type="table" w:styleId="TableGrid">
    <w:name w:val="Table Grid"/>
    <w:basedOn w:val="TableNormal"/>
    <w:uiPriority w:val="59"/>
    <w:rsid w:val="008540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540E0"/>
  </w:style>
  <w:style w:type="character" w:customStyle="1" w:styleId="FootnoteTextChar1">
    <w:name w:val="Footnote Text Char1"/>
    <w:aliases w:val="Footnote Text Char Char1,Footnote Text Char Char Char Char1,Footnote Text Char Char Char2,Fußnote Char1,Footnote Char1,Footnote Text Char1 Char Char1,Footnote Text Char1 Char Char Char Char1,Footnote Text Char1 Char1 Char Char"/>
    <w:link w:val="FootnoteText"/>
    <w:locked/>
    <w:rsid w:val="008540E0"/>
    <w:rPr>
      <w:rFonts w:ascii="Tunga" w:eastAsia="Arial Unicode MS" w:hAnsi="Tunga" w:cs="Tunga"/>
      <w:lang w:val="en-GB" w:eastAsia="de-DE"/>
    </w:rPr>
  </w:style>
  <w:style w:type="paragraph" w:styleId="PlainText">
    <w:name w:val="Plain Text"/>
    <w:basedOn w:val="Normal"/>
    <w:link w:val="PlainTextChar"/>
    <w:uiPriority w:val="99"/>
    <w:unhideWhenUsed/>
    <w:rsid w:val="008540E0"/>
    <w:pPr>
      <w:spacing w:before="0" w:after="0"/>
      <w:jc w:val="left"/>
    </w:pPr>
    <w:rPr>
      <w:rFonts w:ascii="Calibri" w:eastAsia="Calibri" w:hAnsi="Calibri" w:cs="Consolas"/>
      <w:szCs w:val="21"/>
      <w:lang w:val="en-US" w:eastAsia="en-US"/>
    </w:rPr>
  </w:style>
  <w:style w:type="character" w:customStyle="1" w:styleId="PlainTextChar">
    <w:name w:val="Plain Text Char"/>
    <w:link w:val="PlainText"/>
    <w:uiPriority w:val="99"/>
    <w:rsid w:val="008540E0"/>
    <w:rPr>
      <w:rFonts w:ascii="Calibri" w:eastAsia="Calibri" w:hAnsi="Calibri" w:cs="Consolas"/>
      <w:sz w:val="22"/>
      <w:szCs w:val="21"/>
    </w:rPr>
  </w:style>
  <w:style w:type="character" w:customStyle="1" w:styleId="MediumGrid1-Accent2Char">
    <w:name w:val="Medium Grid 1 - Accent 2 Char"/>
    <w:aliases w:val="Numbered List Paragraph Char,References Char,Numbered Paragraph Char,Main numbered paragraph Char,List_Paragraph Char,Multilevel para_II Char,List Paragraph1 Char,Akapit z listą BS Char,Bullet1 Char,List Paragraph 1 Char"/>
    <w:uiPriority w:val="34"/>
    <w:locked/>
    <w:rsid w:val="008540E0"/>
    <w:rPr>
      <w:sz w:val="24"/>
      <w:szCs w:val="24"/>
      <w:lang w:val="en-GB" w:eastAsia="de-DE"/>
    </w:rPr>
  </w:style>
  <w:style w:type="character" w:customStyle="1" w:styleId="BodyText3Char">
    <w:name w:val="Body Text 3 Char"/>
    <w:basedOn w:val="DefaultParagraphFont"/>
    <w:link w:val="BodyText3"/>
    <w:semiHidden/>
    <w:rsid w:val="008540E0"/>
    <w:rPr>
      <w:rFonts w:ascii="Times New Roman Bold" w:eastAsia="Arial Unicode MS" w:hAnsi="Times New Roman Bold" w:cs="Tunga"/>
      <w:b/>
      <w:sz w:val="14"/>
      <w:szCs w:val="14"/>
      <w:lang w:val="mk-MK" w:eastAsia="de-DE"/>
    </w:rPr>
  </w:style>
  <w:style w:type="character" w:customStyle="1" w:styleId="st1">
    <w:name w:val="st1"/>
    <w:basedOn w:val="DefaultParagraphFont"/>
    <w:rsid w:val="008540E0"/>
  </w:style>
  <w:style w:type="paragraph" w:customStyle="1" w:styleId="Bullet">
    <w:name w:val="Bullet"/>
    <w:basedOn w:val="Normal"/>
    <w:uiPriority w:val="99"/>
    <w:rsid w:val="00FF5CA3"/>
    <w:pPr>
      <w:numPr>
        <w:numId w:val="68"/>
      </w:numPr>
      <w:spacing w:before="0" w:after="60"/>
    </w:pPr>
    <w:rPr>
      <w:rFonts w:ascii="Times New Roman" w:eastAsia="Times New Roman" w:hAnsi="Times New Roman" w:cs="Times New Roman"/>
      <w:sz w:val="23"/>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pPr>
      <w:spacing w:before="120" w:after="120"/>
      <w:jc w:val="both"/>
    </w:pPr>
    <w:rPr>
      <w:rFonts w:ascii="Tunga" w:eastAsia="Arial Unicode MS" w:hAnsi="Tunga" w:cs="Tunga"/>
      <w:sz w:val="22"/>
      <w:szCs w:val="22"/>
      <w:lang w:eastAsia="de-DE"/>
    </w:rPr>
  </w:style>
  <w:style w:type="paragraph" w:styleId="Heading1">
    <w:name w:val="heading 1"/>
    <w:basedOn w:val="Normal"/>
    <w:next w:val="Normal"/>
    <w:qFormat/>
    <w:pPr>
      <w:keepNext/>
      <w:spacing w:before="480"/>
      <w:outlineLvl w:val="0"/>
    </w:pPr>
    <w:rPr>
      <w:rFonts w:ascii="Arial" w:hAnsi="Arial" w:cs="Arial"/>
      <w:b/>
      <w:bCs/>
      <w:smallCaps/>
      <w:sz w:val="24"/>
      <w:szCs w:val="32"/>
    </w:rPr>
  </w:style>
  <w:style w:type="paragraph" w:styleId="Heading2">
    <w:name w:val="heading 2"/>
    <w:basedOn w:val="Normal"/>
    <w:next w:val="Normal"/>
    <w:qFormat/>
    <w:pPr>
      <w:keepNext/>
      <w:numPr>
        <w:ilvl w:val="1"/>
        <w:numId w:val="2"/>
      </w:numPr>
      <w:outlineLvl w:val="1"/>
    </w:pPr>
    <w:rPr>
      <w:b/>
      <w:bCs/>
      <w:iCs/>
      <w:szCs w:val="28"/>
    </w:rPr>
  </w:style>
  <w:style w:type="paragraph" w:styleId="Heading3">
    <w:name w:val="heading 3"/>
    <w:basedOn w:val="Normal"/>
    <w:next w:val="Normal"/>
    <w:qFormat/>
    <w:pPr>
      <w:keepNext/>
      <w:numPr>
        <w:ilvl w:val="2"/>
        <w:numId w:val="2"/>
      </w:numPr>
      <w:outlineLvl w:val="2"/>
    </w:pPr>
    <w:rPr>
      <w:bCs/>
      <w:i/>
      <w:szCs w:val="26"/>
    </w:rPr>
  </w:style>
  <w:style w:type="paragraph" w:styleId="Heading4">
    <w:name w:val="heading 4"/>
    <w:basedOn w:val="Normal"/>
    <w:next w:val="Normal"/>
    <w:qFormat/>
    <w:pPr>
      <w:keepNext/>
      <w:numPr>
        <w:ilvl w:val="3"/>
        <w:numId w:val="2"/>
      </w:numPr>
      <w:outlineLvl w:val="3"/>
    </w:pPr>
    <w:rPr>
      <w:bCs/>
      <w:szCs w:val="28"/>
    </w:rPr>
  </w:style>
  <w:style w:type="paragraph" w:styleId="Heading5">
    <w:name w:val="heading 5"/>
    <w:basedOn w:val="Normal"/>
    <w:next w:val="Normal"/>
    <w:qFormat/>
    <w:pPr>
      <w:keepNext/>
      <w:spacing w:before="60" w:after="0"/>
      <w:jc w:val="left"/>
      <w:outlineLvl w:val="4"/>
    </w:pPr>
    <w:rPr>
      <w:rFonts w:ascii="Times New Roman" w:hAnsi="Times New Roman"/>
      <w:b/>
      <w:bCs/>
      <w:sz w:val="20"/>
      <w:szCs w:val="14"/>
    </w:rPr>
  </w:style>
  <w:style w:type="paragraph" w:styleId="Heading6">
    <w:name w:val="heading 6"/>
    <w:basedOn w:val="Normal"/>
    <w:next w:val="Normal"/>
    <w:qFormat/>
    <w:pPr>
      <w:keepNext/>
      <w:spacing w:before="60" w:after="0"/>
      <w:jc w:val="left"/>
      <w:outlineLvl w:val="5"/>
    </w:pPr>
    <w:rPr>
      <w:rFonts w:ascii="Times New Roman Bold" w:hAnsi="Times New Roman Bold"/>
      <w:b/>
      <w:bCs/>
      <w:caps/>
      <w:color w:val="FF0000"/>
      <w:sz w:val="14"/>
      <w:szCs w:val="14"/>
    </w:rPr>
  </w:style>
  <w:style w:type="paragraph" w:styleId="Heading7">
    <w:name w:val="heading 7"/>
    <w:basedOn w:val="Normal"/>
    <w:next w:val="Normal"/>
    <w:qFormat/>
    <w:pPr>
      <w:keepNext/>
      <w:numPr>
        <w:ilvl w:val="12"/>
      </w:numPr>
      <w:spacing w:before="60" w:after="0"/>
      <w:jc w:val="left"/>
      <w:outlineLvl w:val="6"/>
    </w:pPr>
    <w:rPr>
      <w:rFonts w:ascii="Times New Roman" w:hAnsi="Times New Roman"/>
      <w:b/>
      <w:bCs/>
      <w:sz w:val="20"/>
      <w:szCs w:val="14"/>
      <w:u w:val="single"/>
    </w:rPr>
  </w:style>
  <w:style w:type="paragraph" w:styleId="Heading8">
    <w:name w:val="heading 8"/>
    <w:basedOn w:val="Normal"/>
    <w:next w:val="Normal"/>
    <w:qFormat/>
    <w:pPr>
      <w:keepNext/>
      <w:outlineLvl w:val="7"/>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ed">
    <w:name w:val="Added"/>
    <w:rPr>
      <w:b/>
      <w:u w:val="single"/>
    </w:rPr>
  </w:style>
  <w:style w:type="paragraph" w:customStyle="1" w:styleId="Address">
    <w:name w:val="Address"/>
    <w:basedOn w:val="Normal"/>
    <w:next w:val="Normal"/>
    <w:pPr>
      <w:keepLines/>
      <w:spacing w:line="360" w:lineRule="auto"/>
      <w:ind w:left="3402"/>
      <w:jc w:val="left"/>
    </w:pPr>
  </w:style>
  <w:style w:type="paragraph" w:customStyle="1" w:styleId="Annexetitreacte">
    <w:name w:val="Annexe titre (acte)"/>
    <w:basedOn w:val="Normal"/>
    <w:next w:val="Normal"/>
    <w:pPr>
      <w:jc w:val="center"/>
    </w:pPr>
    <w:rPr>
      <w:b/>
      <w:u w:val="single"/>
    </w:rPr>
  </w:style>
  <w:style w:type="paragraph" w:customStyle="1" w:styleId="Annexetitreexposglobal">
    <w:name w:val="Annexe titre (exposé global)"/>
    <w:basedOn w:val="Normal"/>
    <w:next w:val="Normal"/>
    <w:pPr>
      <w:jc w:val="center"/>
    </w:pPr>
    <w:rPr>
      <w:b/>
      <w:u w:val="single"/>
    </w:rPr>
  </w:style>
  <w:style w:type="paragraph" w:customStyle="1" w:styleId="Annexetitreexpos">
    <w:name w:val="Annexe titre (exposé)"/>
    <w:basedOn w:val="Normal"/>
    <w:next w:val="Normal"/>
    <w:pPr>
      <w:jc w:val="center"/>
    </w:pPr>
    <w:rPr>
      <w:b/>
      <w:u w:val="single"/>
    </w:rPr>
  </w:style>
  <w:style w:type="paragraph" w:customStyle="1" w:styleId="Annexetitrefichefinacte">
    <w:name w:val="Annexe titre (fiche fin. acte)"/>
    <w:basedOn w:val="Normal"/>
    <w:next w:val="Normal"/>
    <w:pPr>
      <w:jc w:val="center"/>
    </w:pPr>
    <w:rPr>
      <w:b/>
      <w:u w:val="single"/>
    </w:rPr>
  </w:style>
  <w:style w:type="paragraph" w:customStyle="1" w:styleId="Annexetitrefichefinglobale">
    <w:name w:val="Annexe titre (fiche fin. globale)"/>
    <w:basedOn w:val="Normal"/>
    <w:next w:val="Normal"/>
    <w:pPr>
      <w:jc w:val="center"/>
    </w:pPr>
    <w:rPr>
      <w:b/>
      <w:u w:val="single"/>
    </w:rPr>
  </w:style>
  <w:style w:type="paragraph" w:customStyle="1" w:styleId="Annexetitreglobale">
    <w:name w:val="Annexe titre (globale)"/>
    <w:basedOn w:val="Normal"/>
    <w:next w:val="Normal"/>
    <w:pPr>
      <w:jc w:val="center"/>
    </w:pPr>
    <w:rPr>
      <w:b/>
      <w:u w:val="single"/>
    </w:rPr>
  </w:style>
  <w:style w:type="paragraph" w:customStyle="1" w:styleId="Applicationdirecte">
    <w:name w:val="Application directe"/>
    <w:basedOn w:val="Normal"/>
    <w:next w:val="Normal"/>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hapterTitle">
    <w:name w:val="ChapterTitle"/>
    <w:basedOn w:val="Normal"/>
    <w:next w:val="Normal"/>
    <w:pPr>
      <w:keepNext/>
      <w:spacing w:after="360"/>
      <w:jc w:val="center"/>
    </w:pPr>
    <w:rPr>
      <w:b/>
      <w:sz w:val="32"/>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Normal"/>
    <w:pPr>
      <w:spacing w:before="240" w:after="240"/>
      <w:ind w:left="5103"/>
    </w:pPr>
    <w:rPr>
      <w:u w:val="single"/>
    </w:rPr>
  </w:style>
  <w:style w:type="paragraph" w:customStyle="1" w:styleId="Considrant">
    <w:name w:val="Considérant"/>
    <w:basedOn w:val="Normal"/>
    <w:pPr>
      <w:numPr>
        <w:numId w:val="1"/>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Normal"/>
    <w:pPr>
      <w:spacing w:before="360" w:after="0"/>
      <w:jc w:val="center"/>
    </w:pPr>
    <w:rPr>
      <w:b/>
    </w:rPr>
  </w:style>
  <w:style w:type="character" w:customStyle="1" w:styleId="Deleted">
    <w:name w:val="Deleted"/>
    <w:rPr>
      <w:strike/>
    </w:rPr>
  </w:style>
  <w:style w:type="paragraph" w:customStyle="1" w:styleId="Emission">
    <w:name w:val="Emission"/>
    <w:basedOn w:val="Normal"/>
    <w:next w:val="Normal"/>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Exposdesmotifstitreglobal">
    <w:name w:val="Exposé des motifs titre (global)"/>
    <w:basedOn w:val="Normal"/>
    <w:next w:val="Normal"/>
    <w:pPr>
      <w:jc w:val="center"/>
    </w:pPr>
    <w:rPr>
      <w:b/>
      <w:u w:val="single"/>
    </w:rPr>
  </w:style>
  <w:style w:type="paragraph" w:customStyle="1" w:styleId="Fait">
    <w:name w:val="Fait à"/>
    <w:basedOn w:val="Normal"/>
    <w:next w:val="Normal"/>
    <w:pPr>
      <w:keepNext/>
      <w:spacing w:after="0"/>
    </w:pPr>
  </w:style>
  <w:style w:type="paragraph" w:customStyle="1" w:styleId="Fichefinancireattributiontitre">
    <w:name w:val="Fiche financière (attribution) titre"/>
    <w:basedOn w:val="Normal"/>
    <w:next w:val="Normal"/>
    <w:pPr>
      <w:jc w:val="center"/>
    </w:pPr>
    <w:rPr>
      <w:b/>
      <w:u w:val="single"/>
    </w:rPr>
  </w:style>
  <w:style w:type="paragraph" w:customStyle="1" w:styleId="Fichefinancireattributiontitreacte">
    <w:name w:val="Fiche financière (attribution) titre (acte)"/>
    <w:basedOn w:val="Normal"/>
    <w:next w:val="Normal"/>
    <w:pPr>
      <w:jc w:val="center"/>
    </w:pPr>
    <w:rPr>
      <w:b/>
      <w:u w:val="single"/>
    </w:rPr>
  </w:style>
  <w:style w:type="paragraph" w:customStyle="1" w:styleId="Fichefinancirestandardtitre">
    <w:name w:val="Fiche financière (standard) titre"/>
    <w:basedOn w:val="Normal"/>
    <w:next w:val="Normal"/>
    <w:pPr>
      <w:jc w:val="center"/>
    </w:pPr>
    <w:rPr>
      <w:b/>
      <w:u w:val="single"/>
    </w:rPr>
  </w:style>
  <w:style w:type="paragraph" w:customStyle="1" w:styleId="Fichefinancirestandardtitreacte">
    <w:name w:val="Fiche financière (standard) titre (acte)"/>
    <w:basedOn w:val="Normal"/>
    <w:next w:val="Normal"/>
    <w:pPr>
      <w:jc w:val="center"/>
    </w:pPr>
    <w:rPr>
      <w:b/>
      <w:u w:val="single"/>
    </w:rPr>
  </w:style>
  <w:style w:type="paragraph" w:customStyle="1" w:styleId="Fichefinanciretravailtitre">
    <w:name w:val="Fiche financière (travail) titre"/>
    <w:basedOn w:val="Normal"/>
    <w:next w:val="Normal"/>
    <w:pPr>
      <w:jc w:val="center"/>
    </w:pPr>
    <w:rPr>
      <w:b/>
      <w:u w:val="single"/>
    </w:rPr>
  </w:style>
  <w:style w:type="paragraph" w:customStyle="1" w:styleId="Fichefinanciretravailtitreacte">
    <w:name w:val="Fiche financière (travail) titre (acte)"/>
    <w:basedOn w:val="Normal"/>
    <w:next w:val="Normal"/>
    <w:pPr>
      <w:jc w:val="center"/>
    </w:pPr>
    <w:rPr>
      <w:b/>
      <w:u w:val="single"/>
    </w:rPr>
  </w:style>
  <w:style w:type="paragraph" w:styleId="Footer">
    <w:name w:val="footer"/>
    <w:basedOn w:val="Normal"/>
    <w:uiPriority w:val="99"/>
    <w:pPr>
      <w:tabs>
        <w:tab w:val="center" w:pos="4535"/>
        <w:tab w:val="right" w:pos="9071"/>
        <w:tab w:val="right" w:pos="9921"/>
      </w:tabs>
      <w:spacing w:before="360" w:after="0"/>
      <w:ind w:left="-850" w:right="-850"/>
      <w:jc w:val="left"/>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Footnote reference number,note TESI,ftref,4_G,Ref,de nota al pie,Ref1,de nota al pie1,Ref2,de nota al pie2,Ref11,de nota al pie11,16 Point,Superscript 6 Point,Footnotes refss"/>
    <w:semiHidden/>
    <w:rPr>
      <w:vertAlign w:val="superscript"/>
    </w:rPr>
  </w:style>
  <w:style w:type="paragraph" w:styleId="FootnoteText">
    <w:name w:val="footnote text"/>
    <w:aliases w:val="Footnote Text Char,Footnote Text Char Char Char,Footnote Text Char Char,Fußnote,Footnote,Footnote Text Char1 Char,Footnote Text Char1 Char Char Char,Footnote Text Char Char Char Char Char,Footnote Text Char1 Char1 Char,Fußnotentextf,fn,ADB"/>
    <w:basedOn w:val="Normal"/>
    <w:link w:val="FootnoteTextChar1"/>
    <w:pPr>
      <w:spacing w:before="0" w:after="0"/>
      <w:ind w:left="720" w:hanging="720"/>
    </w:pPr>
    <w:rPr>
      <w:sz w:val="20"/>
      <w:szCs w:val="20"/>
    </w:rPr>
  </w:style>
  <w:style w:type="paragraph" w:customStyle="1" w:styleId="Formuledadoption">
    <w:name w:val="Formule d'adoption"/>
    <w:basedOn w:val="Normal"/>
    <w:next w:val="Normal"/>
    <w:pPr>
      <w:keepNext/>
    </w:pPr>
  </w:style>
  <w:style w:type="paragraph" w:styleId="Header">
    <w:name w:val="header"/>
    <w:basedOn w:val="Normal"/>
    <w:semiHidden/>
    <w:pPr>
      <w:tabs>
        <w:tab w:val="right" w:pos="9071"/>
      </w:tabs>
    </w:pPr>
  </w:style>
  <w:style w:type="paragraph" w:customStyle="1" w:styleId="HeaderLandscape">
    <w:name w:val="HeaderLandscape"/>
    <w:basedOn w:val="Normal"/>
    <w:pPr>
      <w:tabs>
        <w:tab w:val="right" w:pos="14003"/>
      </w:tabs>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Normal"/>
    <w:pPr>
      <w:keepNext/>
      <w:tabs>
        <w:tab w:val="left" w:pos="4252"/>
      </w:tabs>
      <w:spacing w:before="720" w:after="0"/>
    </w:pPr>
    <w:rPr>
      <w:i/>
    </w:rPr>
  </w:style>
  <w:style w:type="paragraph" w:customStyle="1" w:styleId="Langue">
    <w:name w:val="Langue"/>
    <w:basedOn w:val="Normal"/>
    <w:next w:val="Normal"/>
    <w:pPr>
      <w:spacing w:before="0" w:after="600"/>
      <w:jc w:val="center"/>
    </w:pPr>
    <w:rPr>
      <w:b/>
      <w:caps/>
    </w:rPr>
  </w:style>
  <w:style w:type="paragraph" w:customStyle="1" w:styleId="Langueoriginale">
    <w:name w:val="Langue originale"/>
    <w:basedOn w:val="Normal"/>
    <w:next w:val="Normal"/>
    <w:pPr>
      <w:spacing w:before="360"/>
      <w:jc w:val="center"/>
    </w:pPr>
    <w:rPr>
      <w:caps/>
    </w:rPr>
  </w:style>
  <w:style w:type="paragraph" w:styleId="ListBullet">
    <w:name w:val="List Bullet"/>
    <w:basedOn w:val="Normal"/>
    <w:semiHidden/>
    <w:pPr>
      <w:numPr>
        <w:numId w:val="3"/>
      </w:numPr>
    </w:pPr>
  </w:style>
  <w:style w:type="paragraph" w:customStyle="1" w:styleId="ListBullet1">
    <w:name w:val="List Bullet 1"/>
    <w:basedOn w:val="Normal"/>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customStyle="1" w:styleId="ListDash">
    <w:name w:val="List Dash"/>
    <w:basedOn w:val="Normal"/>
    <w:pPr>
      <w:numPr>
        <w:numId w:val="8"/>
      </w:numPr>
    </w:pPr>
  </w:style>
  <w:style w:type="paragraph" w:customStyle="1" w:styleId="ListDash1">
    <w:name w:val="List Dash 1"/>
    <w:basedOn w:val="Normal"/>
    <w:pPr>
      <w:numPr>
        <w:numId w:val="9"/>
      </w:numPr>
    </w:pPr>
  </w:style>
  <w:style w:type="paragraph" w:customStyle="1" w:styleId="ListDash2">
    <w:name w:val="List Dash 2"/>
    <w:basedOn w:val="Normal"/>
    <w:pPr>
      <w:numPr>
        <w:numId w:val="10"/>
      </w:numPr>
    </w:pPr>
  </w:style>
  <w:style w:type="paragraph" w:customStyle="1" w:styleId="ListDash3">
    <w:name w:val="List Dash 3"/>
    <w:basedOn w:val="Normal"/>
    <w:pPr>
      <w:numPr>
        <w:numId w:val="11"/>
      </w:numPr>
    </w:pPr>
  </w:style>
  <w:style w:type="paragraph" w:customStyle="1" w:styleId="ListDash4">
    <w:name w:val="List Dash 4"/>
    <w:basedOn w:val="Normal"/>
    <w:pPr>
      <w:numPr>
        <w:numId w:val="12"/>
      </w:numPr>
    </w:pPr>
  </w:style>
  <w:style w:type="paragraph" w:styleId="ListNumber">
    <w:name w:val="List Number"/>
    <w:basedOn w:val="Normal"/>
    <w:semiHidden/>
    <w:pPr>
      <w:numPr>
        <w:numId w:val="13"/>
      </w:numPr>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Text1">
    <w:name w:val="Text 1"/>
    <w:basedOn w:val="Normal"/>
    <w:pPr>
      <w:ind w:left="850"/>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styleId="ListNumber2">
    <w:name w:val="List Number 2"/>
    <w:basedOn w:val="Normal"/>
    <w:semiHidden/>
    <w:pPr>
      <w:numPr>
        <w:numId w:val="15"/>
      </w:numPr>
    </w:pPr>
  </w:style>
  <w:style w:type="paragraph" w:customStyle="1" w:styleId="Text2">
    <w:name w:val="Text 2"/>
    <w:basedOn w:val="Normal"/>
    <w:pPr>
      <w:ind w:left="850"/>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styleId="ListNumber3">
    <w:name w:val="List Number 3"/>
    <w:basedOn w:val="Normal"/>
    <w:semiHidden/>
    <w:pPr>
      <w:numPr>
        <w:numId w:val="16"/>
      </w:numPr>
    </w:pPr>
  </w:style>
  <w:style w:type="paragraph" w:customStyle="1" w:styleId="Text3">
    <w:name w:val="Text 3"/>
    <w:basedOn w:val="Normal"/>
    <w:pPr>
      <w:ind w:left="850"/>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styleId="ListNumber4">
    <w:name w:val="List Number 4"/>
    <w:basedOn w:val="Normal"/>
    <w:semiHidden/>
    <w:pPr>
      <w:numPr>
        <w:numId w:val="17"/>
      </w:numPr>
    </w:pPr>
  </w:style>
  <w:style w:type="paragraph" w:customStyle="1" w:styleId="Text4">
    <w:name w:val="Text 4"/>
    <w:basedOn w:val="Normal"/>
    <w:pPr>
      <w:ind w:left="850"/>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ManualConsidrant">
    <w:name w:val="Manual Considérant"/>
    <w:basedOn w:val="Normal"/>
    <w:pPr>
      <w:ind w:left="709" w:hanging="709"/>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2"/>
    <w:pPr>
      <w:keepNext/>
      <w:tabs>
        <w:tab w:val="left" w:pos="850"/>
      </w:tabs>
      <w:ind w:left="850" w:hanging="850"/>
      <w:outlineLvl w:val="1"/>
    </w:pPr>
    <w:rPr>
      <w:b/>
    </w:rPr>
  </w:style>
  <w:style w:type="paragraph" w:customStyle="1" w:styleId="ManualHeading3">
    <w:name w:val="Manual Heading 3"/>
    <w:basedOn w:val="Normal"/>
    <w:next w:val="Text3"/>
    <w:pPr>
      <w:keepNext/>
      <w:tabs>
        <w:tab w:val="left" w:pos="850"/>
      </w:tabs>
      <w:ind w:left="850" w:hanging="850"/>
      <w:outlineLvl w:val="2"/>
    </w:pPr>
    <w:rPr>
      <w:i/>
    </w:rPr>
  </w:style>
  <w:style w:type="paragraph" w:customStyle="1" w:styleId="ManualHeading4">
    <w:name w:val="Manual Heading 4"/>
    <w:basedOn w:val="Normal"/>
    <w:next w:val="Text4"/>
    <w:pPr>
      <w:keepNext/>
      <w:tabs>
        <w:tab w:val="left" w:pos="850"/>
      </w:tabs>
      <w:ind w:left="850" w:hanging="850"/>
      <w:outlineLvl w:val="3"/>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2"/>
    <w:pPr>
      <w:ind w:left="850" w:hanging="850"/>
    </w:pPr>
  </w:style>
  <w:style w:type="paragraph" w:customStyle="1" w:styleId="ManualNumPar3">
    <w:name w:val="Manual NumPar 3"/>
    <w:basedOn w:val="Normal"/>
    <w:next w:val="Text3"/>
    <w:pPr>
      <w:ind w:left="850" w:hanging="850"/>
    </w:pPr>
  </w:style>
  <w:style w:type="paragraph" w:customStyle="1" w:styleId="ManualNumPar4">
    <w:name w:val="Manual NumPar 4"/>
    <w:basedOn w:val="Normal"/>
    <w:next w:val="Text4"/>
    <w:pPr>
      <w:ind w:left="850" w:hanging="850"/>
    </w:pPr>
  </w:style>
  <w:style w:type="character" w:customStyle="1" w:styleId="Marker">
    <w:name w:val="Marker"/>
    <w:rPr>
      <w:color w:val="0000FF"/>
    </w:rPr>
  </w:style>
  <w:style w:type="character" w:customStyle="1" w:styleId="Marker1">
    <w:name w:val="Marker1"/>
    <w:rPr>
      <w:color w:val="008000"/>
    </w:rPr>
  </w:style>
  <w:style w:type="character" w:customStyle="1" w:styleId="Marker2">
    <w:name w:val="Marker2"/>
    <w:rPr>
      <w:color w:val="FF0000"/>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NumPar1">
    <w:name w:val="NumPar 1"/>
    <w:basedOn w:val="Normal"/>
    <w:next w:val="Text1"/>
    <w:pPr>
      <w:numPr>
        <w:numId w:val="18"/>
      </w:numPr>
    </w:pPr>
  </w:style>
  <w:style w:type="paragraph" w:customStyle="1" w:styleId="NumPar2">
    <w:name w:val="NumPar 2"/>
    <w:basedOn w:val="Normal"/>
    <w:next w:val="Text2"/>
    <w:pPr>
      <w:numPr>
        <w:ilvl w:val="1"/>
        <w:numId w:val="18"/>
      </w:numPr>
    </w:pPr>
  </w:style>
  <w:style w:type="paragraph" w:customStyle="1" w:styleId="NumPar3">
    <w:name w:val="NumPar 3"/>
    <w:basedOn w:val="Normal"/>
    <w:next w:val="Text3"/>
    <w:pPr>
      <w:numPr>
        <w:ilvl w:val="2"/>
        <w:numId w:val="18"/>
      </w:numPr>
    </w:pPr>
  </w:style>
  <w:style w:type="paragraph" w:customStyle="1" w:styleId="NumPar4">
    <w:name w:val="NumPar 4"/>
    <w:basedOn w:val="Normal"/>
    <w:next w:val="Text4"/>
    <w:pPr>
      <w:numPr>
        <w:ilvl w:val="3"/>
        <w:numId w:val="18"/>
      </w:numPr>
    </w:pPr>
  </w:style>
  <w:style w:type="paragraph" w:customStyle="1" w:styleId="Objetexterne">
    <w:name w:val="Objet externe"/>
    <w:basedOn w:val="Normal"/>
    <w:next w:val="Normal"/>
    <w:rPr>
      <w:i/>
      <w:caps/>
    </w:rPr>
  </w:style>
  <w:style w:type="paragraph" w:customStyle="1" w:styleId="PartTitle">
    <w:name w:val="PartTitle"/>
    <w:basedOn w:val="Normal"/>
    <w:next w:val="ChapterTitle"/>
    <w:pPr>
      <w:keepNext/>
      <w:pageBreakBefore/>
      <w:spacing w:after="360"/>
      <w:jc w:val="center"/>
    </w:pPr>
    <w:rPr>
      <w:b/>
      <w:sz w:val="36"/>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Phrasefinale">
    <w:name w:val="Phrase finale"/>
    <w:basedOn w:val="Normal"/>
    <w:next w:val="Normal"/>
    <w:pPr>
      <w:spacing w:before="360" w:after="0"/>
      <w:jc w:val="center"/>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Prliminairetitre">
    <w:name w:val="Préliminaire titre"/>
    <w:basedOn w:val="Normal"/>
    <w:next w:val="Normal"/>
    <w:pPr>
      <w:spacing w:before="360" w:after="360"/>
      <w:jc w:val="center"/>
    </w:pPr>
    <w:rPr>
      <w:b/>
    </w:rPr>
  </w:style>
  <w:style w:type="paragraph" w:customStyle="1" w:styleId="Prliminairetype">
    <w:name w:val="Préliminaire type"/>
    <w:basedOn w:val="Normal"/>
    <w:next w:val="Normal"/>
    <w:pPr>
      <w:spacing w:before="360" w:after="0"/>
      <w:jc w:val="center"/>
    </w:pPr>
    <w:rPr>
      <w:b/>
    </w:rPr>
  </w:style>
  <w:style w:type="paragraph" w:customStyle="1" w:styleId="QuotedNumPar">
    <w:name w:val="Quoted NumPar"/>
    <w:basedOn w:val="Normal"/>
    <w:pPr>
      <w:ind w:left="1417" w:hanging="567"/>
    </w:pPr>
  </w:style>
  <w:style w:type="paragraph" w:customStyle="1" w:styleId="QuotedText">
    <w:name w:val="Quoted Text"/>
    <w:basedOn w:val="Normal"/>
    <w:pPr>
      <w:ind w:left="1417"/>
    </w:pPr>
  </w:style>
  <w:style w:type="paragraph" w:customStyle="1" w:styleId="Rfrenceinstitutionelle">
    <w:name w:val="Référence institutionelle"/>
    <w:basedOn w:val="Normal"/>
    <w:next w:val="Normal"/>
    <w:pPr>
      <w:spacing w:before="0" w:after="240"/>
      <w:ind w:left="5103"/>
      <w:jc w:val="left"/>
    </w:pPr>
  </w:style>
  <w:style w:type="paragraph" w:customStyle="1" w:styleId="Rfrenceinterinstitutionelle">
    <w:name w:val="Référence interinstitutionelle"/>
    <w:basedOn w:val="Normal"/>
    <w:next w:val="Normal"/>
    <w:pPr>
      <w:spacing w:before="0" w:after="0"/>
      <w:ind w:left="5103"/>
      <w:jc w:val="left"/>
    </w:pPr>
  </w:style>
  <w:style w:type="paragraph" w:customStyle="1" w:styleId="Rfrenceinterinstitutionelleprliminaire">
    <w:name w:val="Référence interinstitutionelle (préliminaire)"/>
    <w:basedOn w:val="Normal"/>
    <w:next w:val="Normal"/>
    <w:pPr>
      <w:spacing w:before="0" w:after="0"/>
      <w:ind w:left="5103"/>
      <w:jc w:val="left"/>
    </w:pPr>
  </w:style>
  <w:style w:type="paragraph" w:customStyle="1" w:styleId="Rfrenceinterne">
    <w:name w:val="Référence interne"/>
    <w:basedOn w:val="Normal"/>
    <w:next w:val="Nomdelinstitution"/>
    <w:pPr>
      <w:spacing w:before="0" w:after="600"/>
      <w:jc w:val="center"/>
    </w:pPr>
    <w:rPr>
      <w:b/>
    </w:rPr>
  </w:style>
  <w:style w:type="paragraph" w:customStyle="1" w:styleId="SectionTitle">
    <w:name w:val="SectionTitle"/>
    <w:basedOn w:val="Normal"/>
    <w:next w:val="Heading1"/>
    <w:pPr>
      <w:keepNext/>
      <w:spacing w:after="360"/>
      <w:jc w:val="center"/>
    </w:pPr>
    <w:rPr>
      <w:b/>
      <w:smallCaps/>
      <w:sz w:val="28"/>
    </w:rPr>
  </w:style>
  <w:style w:type="paragraph" w:customStyle="1" w:styleId="Sous-titreobjet">
    <w:name w:val="Sous-titre objet"/>
    <w:basedOn w:val="Normal"/>
    <w:pPr>
      <w:spacing w:before="0" w:after="0"/>
      <w:jc w:val="center"/>
    </w:pPr>
    <w:rPr>
      <w:b/>
    </w:rPr>
  </w:style>
  <w:style w:type="paragraph" w:customStyle="1" w:styleId="Sous-titreobjetprliminaire">
    <w:name w:val="Sous-titre objet (préliminaire)"/>
    <w:basedOn w:val="Normal"/>
    <w:pPr>
      <w:spacing w:before="0" w:after="0"/>
      <w:jc w:val="center"/>
    </w:pPr>
    <w:rPr>
      <w:b/>
    </w:rPr>
  </w:style>
  <w:style w:type="paragraph" w:customStyle="1" w:styleId="Statut">
    <w:name w:val="Statut"/>
    <w:basedOn w:val="Normal"/>
    <w:next w:val="Normal"/>
    <w:pPr>
      <w:spacing w:before="360" w:after="0"/>
      <w:jc w:val="center"/>
    </w:pPr>
  </w:style>
  <w:style w:type="paragraph" w:customStyle="1" w:styleId="Statutprliminaire">
    <w:name w:val="Statut (préliminaire)"/>
    <w:basedOn w:val="Normal"/>
    <w:next w:val="Normal"/>
    <w:pPr>
      <w:spacing w:before="360" w:after="0"/>
      <w:jc w:val="center"/>
    </w:pPr>
  </w:style>
  <w:style w:type="paragraph" w:customStyle="1" w:styleId="TableTitle">
    <w:name w:val="Table Title"/>
    <w:basedOn w:val="Normal"/>
    <w:next w:val="Normal"/>
    <w:pPr>
      <w:jc w:val="center"/>
    </w:pPr>
    <w:rPr>
      <w:b/>
    </w:rPr>
  </w:style>
  <w:style w:type="paragraph" w:customStyle="1" w:styleId="Tiret0">
    <w:name w:val="Tiret 0"/>
    <w:basedOn w:val="Point0"/>
    <w:pPr>
      <w:numPr>
        <w:numId w:val="19"/>
      </w:numPr>
    </w:pPr>
  </w:style>
  <w:style w:type="paragraph" w:customStyle="1" w:styleId="Tiret1">
    <w:name w:val="Tiret 1"/>
    <w:basedOn w:val="Point1"/>
    <w:pPr>
      <w:numPr>
        <w:numId w:val="20"/>
      </w:numPr>
    </w:pPr>
  </w:style>
  <w:style w:type="paragraph" w:customStyle="1" w:styleId="Tiret2">
    <w:name w:val="Tiret 2"/>
    <w:basedOn w:val="Point2"/>
    <w:pPr>
      <w:numPr>
        <w:numId w:val="21"/>
      </w:numPr>
    </w:pPr>
  </w:style>
  <w:style w:type="paragraph" w:customStyle="1" w:styleId="Tiret3">
    <w:name w:val="Tiret 3"/>
    <w:basedOn w:val="Point3"/>
    <w:pPr>
      <w:numPr>
        <w:numId w:val="22"/>
      </w:numPr>
    </w:pPr>
  </w:style>
  <w:style w:type="paragraph" w:customStyle="1" w:styleId="Tiret4">
    <w:name w:val="Tiret 4"/>
    <w:basedOn w:val="Point4"/>
    <w:pPr>
      <w:numPr>
        <w:numId w:val="23"/>
      </w:numP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itreobjetprliminaire">
    <w:name w:val="Titre objet (préliminaire)"/>
    <w:basedOn w:val="Normal"/>
    <w:next w:val="Normal"/>
    <w:pPr>
      <w:spacing w:before="360" w:after="360"/>
      <w:jc w:val="center"/>
    </w:pPr>
    <w:rPr>
      <w:b/>
    </w:rPr>
  </w:style>
  <w:style w:type="paragraph" w:styleId="TOC1">
    <w:name w:val="toc 1"/>
    <w:basedOn w:val="Normal"/>
    <w:next w:val="Normal"/>
    <w:semiHidden/>
    <w:pPr>
      <w:tabs>
        <w:tab w:val="right" w:leader="dot" w:pos="9071"/>
      </w:tabs>
      <w:spacing w:before="60"/>
      <w:ind w:left="850" w:hanging="850"/>
      <w:jc w:val="left"/>
    </w:pPr>
  </w:style>
  <w:style w:type="paragraph" w:styleId="TOC2">
    <w:name w:val="toc 2"/>
    <w:basedOn w:val="Normal"/>
    <w:next w:val="Normal"/>
    <w:semiHidden/>
    <w:pPr>
      <w:tabs>
        <w:tab w:val="right" w:leader="dot" w:pos="9071"/>
      </w:tabs>
      <w:spacing w:before="60"/>
      <w:ind w:left="850" w:hanging="850"/>
      <w:jc w:val="left"/>
    </w:pPr>
  </w:style>
  <w:style w:type="paragraph" w:styleId="TOC3">
    <w:name w:val="toc 3"/>
    <w:basedOn w:val="Normal"/>
    <w:next w:val="Normal"/>
    <w:semiHidden/>
    <w:pPr>
      <w:tabs>
        <w:tab w:val="right" w:leader="dot" w:pos="9071"/>
      </w:tabs>
      <w:spacing w:before="60"/>
      <w:ind w:left="850" w:hanging="850"/>
      <w:jc w:val="left"/>
    </w:pPr>
  </w:style>
  <w:style w:type="paragraph" w:styleId="TOC4">
    <w:name w:val="toc 4"/>
    <w:basedOn w:val="Normal"/>
    <w:next w:val="Normal"/>
    <w:semiHidden/>
    <w:pPr>
      <w:tabs>
        <w:tab w:val="right" w:leader="dot" w:pos="9071"/>
      </w:tabs>
      <w:spacing w:before="60"/>
      <w:ind w:left="850" w:hanging="850"/>
      <w:jc w:val="left"/>
    </w:pPr>
  </w:style>
  <w:style w:type="paragraph" w:styleId="TOC5">
    <w:name w:val="toc 5"/>
    <w:basedOn w:val="Normal"/>
    <w:next w:val="Normal"/>
    <w:semiHidden/>
    <w:pPr>
      <w:tabs>
        <w:tab w:val="right" w:leader="dot" w:pos="9071"/>
      </w:tabs>
      <w:spacing w:before="300"/>
      <w:jc w:val="left"/>
    </w:pPr>
  </w:style>
  <w:style w:type="paragraph" w:styleId="TOC6">
    <w:name w:val="toc 6"/>
    <w:basedOn w:val="Normal"/>
    <w:next w:val="Normal"/>
    <w:semiHidden/>
    <w:pPr>
      <w:tabs>
        <w:tab w:val="right" w:leader="dot" w:pos="9071"/>
      </w:tabs>
      <w:spacing w:before="240"/>
      <w:jc w:val="left"/>
    </w:pPr>
  </w:style>
  <w:style w:type="paragraph" w:styleId="TOC7">
    <w:name w:val="toc 7"/>
    <w:basedOn w:val="Normal"/>
    <w:next w:val="Normal"/>
    <w:semiHidden/>
    <w:pPr>
      <w:tabs>
        <w:tab w:val="right" w:leader="dot" w:pos="9071"/>
      </w:tabs>
      <w:spacing w:before="180"/>
      <w:jc w:val="left"/>
    </w:pPr>
  </w:style>
  <w:style w:type="paragraph" w:styleId="TOC8">
    <w:name w:val="toc 8"/>
    <w:basedOn w:val="Normal"/>
    <w:next w:val="Normal"/>
    <w:semiHidden/>
    <w:pPr>
      <w:tabs>
        <w:tab w:val="right" w:leader="dot" w:pos="9071"/>
      </w:tabs>
      <w:jc w:val="left"/>
    </w:pPr>
  </w:style>
  <w:style w:type="paragraph" w:styleId="TOC9">
    <w:name w:val="toc 9"/>
    <w:basedOn w:val="Normal"/>
    <w:next w:val="Normal"/>
    <w:semiHidden/>
    <w:pPr>
      <w:tabs>
        <w:tab w:val="right" w:leader="dot" w:pos="9071"/>
      </w:tabs>
    </w:pPr>
  </w:style>
  <w:style w:type="paragraph" w:styleId="TOCHeading">
    <w:name w:val="TOC Heading"/>
    <w:basedOn w:val="Normal"/>
    <w:next w:val="Normal"/>
    <w:qFormat/>
    <w:pPr>
      <w:spacing w:after="240"/>
      <w:jc w:val="center"/>
    </w:pPr>
    <w:rPr>
      <w:b/>
      <w:sz w:val="28"/>
    </w:rPr>
  </w:style>
  <w:style w:type="paragraph" w:customStyle="1" w:styleId="Typedudocument">
    <w:name w:val="Type du document"/>
    <w:basedOn w:val="Normal"/>
    <w:next w:val="Datedadoption"/>
    <w:pPr>
      <w:spacing w:before="360" w:after="0"/>
      <w:jc w:val="center"/>
    </w:pPr>
    <w:rPr>
      <w:b/>
    </w:rPr>
  </w:style>
  <w:style w:type="paragraph" w:customStyle="1" w:styleId="Typedudocumentprliminaire">
    <w:name w:val="Type du document (préliminaire)"/>
    <w:basedOn w:val="Normal"/>
    <w:next w:val="Normal"/>
    <w:pPr>
      <w:spacing w:before="360" w:after="0"/>
      <w:jc w:val="center"/>
    </w:pPr>
    <w:rPr>
      <w:b/>
    </w:rPr>
  </w:style>
  <w:style w:type="paragraph" w:customStyle="1" w:styleId="NormalIndent1">
    <w:name w:val="Normal Indent 1"/>
    <w:basedOn w:val="NormalIndent"/>
    <w:autoRedefine/>
    <w:semiHidden/>
    <w:pPr>
      <w:numPr>
        <w:ilvl w:val="1"/>
        <w:numId w:val="24"/>
      </w:numPr>
      <w:spacing w:before="100" w:beforeAutospacing="1" w:after="100" w:afterAutospacing="1"/>
      <w:jc w:val="left"/>
    </w:pPr>
    <w:rPr>
      <w:rFonts w:ascii="Times New Roman" w:hAnsi="Times New Roman" w:cs="Times New Roman"/>
      <w:b/>
      <w:smallCaps/>
      <w:sz w:val="24"/>
      <w:szCs w:val="24"/>
      <w:lang w:val="en-US" w:eastAsia="en-GB"/>
    </w:rPr>
  </w:style>
  <w:style w:type="paragraph" w:styleId="Title">
    <w:name w:val="Title"/>
    <w:basedOn w:val="Normal"/>
    <w:qFormat/>
    <w:pPr>
      <w:spacing w:before="0" w:after="0"/>
      <w:jc w:val="center"/>
    </w:pPr>
    <w:rPr>
      <w:b/>
      <w:sz w:val="36"/>
      <w:szCs w:val="20"/>
      <w:lang w:eastAsia="en-US"/>
    </w:rPr>
  </w:style>
  <w:style w:type="paragraph" w:styleId="BodyText">
    <w:name w:val="Body Text"/>
    <w:aliases w:val="Body Text Char1,block Char,Tempo Body Text Char,Body Text - Level 2 Char,bd Char,bt Char,NCDOT Body Text Char,Starbucks Body Text Char,3 indent Char,heading31 Char,body text1 Char,3 indent1 Char,heading32 Char,body text2 Char,b"/>
    <w:basedOn w:val="Normal"/>
    <w:semiHidden/>
    <w:pPr>
      <w:spacing w:before="0" w:after="0"/>
      <w:jc w:val="left"/>
    </w:pPr>
    <w:rPr>
      <w:b/>
      <w:szCs w:val="20"/>
      <w:lang w:val="en-US" w:eastAsia="en-GB"/>
    </w:rPr>
  </w:style>
  <w:style w:type="character" w:styleId="Hyperlink">
    <w:name w:val="Hyperlink"/>
    <w:semiHidden/>
    <w:rPr>
      <w:rFonts w:cs="Times New Roman"/>
      <w:color w:val="0000FF"/>
      <w:u w:val="single"/>
    </w:rPr>
  </w:style>
  <w:style w:type="character" w:styleId="PageNumber">
    <w:name w:val="page number"/>
    <w:semiHidden/>
    <w:rPr>
      <w:rFonts w:cs="Times New Roman"/>
    </w:rPr>
  </w:style>
  <w:style w:type="paragraph" w:customStyle="1" w:styleId="Default">
    <w:name w:val="Default"/>
    <w:pPr>
      <w:autoSpaceDE w:val="0"/>
      <w:autoSpaceDN w:val="0"/>
      <w:adjustRightInd w:val="0"/>
    </w:pPr>
    <w:rPr>
      <w:color w:val="000000"/>
      <w:sz w:val="24"/>
      <w:szCs w:val="24"/>
      <w:lang w:val="de-AT" w:eastAsia="en-US"/>
    </w:rPr>
  </w:style>
  <w:style w:type="paragraph" w:customStyle="1" w:styleId="IPAPG-AnnexTitle">
    <w:name w:val="IPA PG - Annex Title"/>
    <w:basedOn w:val="Normal"/>
    <w:pPr>
      <w:pBdr>
        <w:top w:val="single" w:sz="4" w:space="1" w:color="auto"/>
        <w:left w:val="single" w:sz="4" w:space="4" w:color="auto"/>
        <w:bottom w:val="single" w:sz="4" w:space="1" w:color="auto"/>
        <w:right w:val="single" w:sz="4" w:space="4" w:color="auto"/>
      </w:pBdr>
      <w:shd w:val="clear" w:color="auto" w:fill="D9D9D9"/>
      <w:spacing w:before="0" w:after="240"/>
    </w:pPr>
    <w:rPr>
      <w:rFonts w:ascii="Times New Roman Bold" w:hAnsi="Times New Roman Bold"/>
      <w:sz w:val="32"/>
      <w:szCs w:val="32"/>
      <w:lang w:eastAsia="en-GB"/>
    </w:rPr>
  </w:style>
  <w:style w:type="character" w:customStyle="1" w:styleId="BodyTextChar">
    <w:name w:val="Body Text Char"/>
    <w:aliases w:val="Body Text Char1 Char,block Char Char,Tempo Body Text Char Char,Body Text - Level 2 Char Char,bd Char Char,bt Char Char,NCDOT Body Text Char Char,Starbucks Body Text Char Char,3 indent Char Char,heading31 Char Char,body text1 Char Char"/>
    <w:locked/>
    <w:rPr>
      <w:b/>
      <w:sz w:val="24"/>
      <w:lang w:val="en-US" w:eastAsia="en-GB" w:bidi="ar-SA"/>
    </w:rPr>
  </w:style>
  <w:style w:type="paragraph" w:customStyle="1" w:styleId="Char2CharCharCharCharCharCharCharCharChar">
    <w:name w:val="Char2 Char Char Char Char Char Char Char Char Char"/>
    <w:basedOn w:val="Normal"/>
    <w:pPr>
      <w:spacing w:before="0" w:after="160" w:line="240" w:lineRule="exact"/>
      <w:jc w:val="left"/>
    </w:pPr>
    <w:rPr>
      <w:rFonts w:ascii="Tahoma" w:hAnsi="Tahoma"/>
      <w:sz w:val="20"/>
      <w:szCs w:val="20"/>
      <w:lang w:val="en-US" w:eastAsia="en-US"/>
    </w:rPr>
  </w:style>
  <w:style w:type="paragraph" w:styleId="NormalIndent">
    <w:name w:val="Normal Indent"/>
    <w:basedOn w:val="Normal"/>
    <w:semiHidden/>
    <w:pPr>
      <w:ind w:left="720"/>
    </w:pPr>
  </w:style>
  <w:style w:type="character" w:customStyle="1" w:styleId="title2">
    <w:name w:val="title2"/>
    <w:basedOn w:val="DefaultParagraphFont"/>
  </w:style>
  <w:style w:type="character" w:customStyle="1" w:styleId="title1">
    <w:name w:val="title1"/>
    <w:basedOn w:val="DefaultParagraphFont"/>
  </w:style>
  <w:style w:type="character" w:styleId="Emphasis">
    <w:name w:val="Emphasis"/>
    <w:uiPriority w:val="20"/>
    <w:qFormat/>
    <w:rPr>
      <w:i/>
      <w:iCs/>
    </w:rPr>
  </w:style>
  <w:style w:type="character" w:styleId="CommentReference">
    <w:name w:val="annotation reference"/>
    <w:uiPriority w:val="99"/>
    <w:semiHidden/>
    <w:rPr>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iststycke">
    <w:name w:val="Liststycke"/>
    <w:basedOn w:val="Normal"/>
    <w:qFormat/>
    <w:pPr>
      <w:spacing w:before="0" w:after="200" w:line="276" w:lineRule="auto"/>
      <w:ind w:left="720"/>
      <w:contextualSpacing/>
      <w:jc w:val="left"/>
    </w:pPr>
    <w:rPr>
      <w:rFonts w:ascii="Calibri" w:eastAsia="Calibri" w:hAnsi="Calibri" w:cs="Arial"/>
      <w:lang w:val="sv-SE" w:eastAsia="en-US" w:bidi="he-IL"/>
    </w:rPr>
  </w:style>
  <w:style w:type="character" w:styleId="Strong">
    <w:name w:val="Strong"/>
    <w:qFormat/>
    <w:rPr>
      <w:b/>
      <w:bCs/>
    </w:rPr>
  </w:style>
  <w:style w:type="paragraph" w:customStyle="1" w:styleId="1">
    <w:name w:val="1"/>
    <w:basedOn w:val="Normal"/>
    <w:semiHidden/>
    <w:pPr>
      <w:spacing w:before="0" w:after="160" w:line="240" w:lineRule="exact"/>
      <w:jc w:val="left"/>
    </w:pPr>
    <w:rPr>
      <w:rFonts w:ascii="Tahoma" w:eastAsia="Times New Roman" w:hAnsi="Tahoma" w:cs="Times New Roman"/>
      <w:sz w:val="20"/>
      <w:szCs w:val="20"/>
      <w:lang w:val="en-US" w:eastAsia="en-US"/>
    </w:rPr>
  </w:style>
  <w:style w:type="paragraph" w:styleId="Subtitle">
    <w:name w:val="Subtitle"/>
    <w:basedOn w:val="Normal"/>
    <w:qFormat/>
    <w:pPr>
      <w:jc w:val="center"/>
    </w:pPr>
    <w:rPr>
      <w:rFonts w:ascii="Arial" w:eastAsia="Times New Roman" w:hAnsi="Arial" w:cs="Times New Roman"/>
      <w:b/>
      <w:snapToGrid w:val="0"/>
      <w:sz w:val="28"/>
      <w:szCs w:val="20"/>
      <w:lang w:val="fr-BE" w:eastAsia="en-US"/>
    </w:rPr>
  </w:style>
  <w:style w:type="paragraph" w:styleId="NormalWeb">
    <w:name w:val="Normal (Web)"/>
    <w:basedOn w:val="Normal"/>
    <w:uiPriority w:val="99"/>
    <w:semiHidden/>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Revision">
    <w:name w:val="Revision"/>
    <w:hidden/>
    <w:semiHidden/>
    <w:rPr>
      <w:rFonts w:ascii="Tunga" w:eastAsia="Arial Unicode MS" w:hAnsi="Tunga" w:cs="Tunga"/>
      <w:sz w:val="22"/>
      <w:szCs w:val="22"/>
      <w:lang w:eastAsia="de-DE"/>
    </w:rPr>
  </w:style>
  <w:style w:type="character" w:customStyle="1" w:styleId="FooterChar">
    <w:name w:val="Footer Char"/>
    <w:uiPriority w:val="99"/>
    <w:rPr>
      <w:rFonts w:ascii="Tunga" w:eastAsia="Arial Unicode MS" w:hAnsi="Tunga" w:cs="Tunga"/>
      <w:sz w:val="22"/>
      <w:szCs w:val="22"/>
      <w:lang w:eastAsia="de-DE"/>
    </w:rPr>
  </w:style>
  <w:style w:type="paragraph" w:styleId="z-TopofForm">
    <w:name w:val="HTML Top of Form"/>
    <w:basedOn w:val="Normal"/>
    <w:next w:val="Normal"/>
    <w:hidden/>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rPr>
      <w:rFonts w:ascii="Arial" w:eastAsia="Arial Unicode MS" w:hAnsi="Arial" w:cs="Arial"/>
      <w:vanish/>
      <w:sz w:val="16"/>
      <w:szCs w:val="16"/>
      <w:lang w:eastAsia="de-DE"/>
    </w:rPr>
  </w:style>
  <w:style w:type="paragraph" w:styleId="z-BottomofForm">
    <w:name w:val="HTML Bottom of Form"/>
    <w:basedOn w:val="Normal"/>
    <w:next w:val="Normal"/>
    <w:hidden/>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rPr>
      <w:rFonts w:ascii="Arial" w:eastAsia="Arial Unicode MS" w:hAnsi="Arial" w:cs="Arial"/>
      <w:vanish/>
      <w:sz w:val="16"/>
      <w:szCs w:val="16"/>
      <w:lang w:eastAsia="de-DE"/>
    </w:rPr>
  </w:style>
  <w:style w:type="character" w:customStyle="1" w:styleId="HeaderChar">
    <w:name w:val="Header Char"/>
    <w:rPr>
      <w:rFonts w:ascii="Tunga" w:eastAsia="Arial Unicode MS" w:hAnsi="Tunga" w:cs="Tunga"/>
      <w:sz w:val="22"/>
      <w:szCs w:val="22"/>
      <w:lang w:eastAsia="de-DE"/>
    </w:rPr>
  </w:style>
  <w:style w:type="character" w:customStyle="1" w:styleId="TitleChar">
    <w:name w:val="Title Char"/>
    <w:rPr>
      <w:rFonts w:ascii="Tunga" w:eastAsia="Arial Unicode MS" w:hAnsi="Tunga" w:cs="Tunga"/>
      <w:b/>
      <w:sz w:val="36"/>
      <w:lang w:eastAsia="en-US"/>
    </w:rPr>
  </w:style>
  <w:style w:type="character" w:customStyle="1" w:styleId="CommentTextChar">
    <w:name w:val="Comment Text Char"/>
    <w:rPr>
      <w:rFonts w:ascii="Tunga" w:eastAsia="Arial Unicode MS" w:hAnsi="Tunga" w:cs="Tunga"/>
      <w:lang w:eastAsia="de-DE"/>
    </w:rPr>
  </w:style>
  <w:style w:type="paragraph" w:styleId="BodyText2">
    <w:name w:val="Body Text 2"/>
    <w:basedOn w:val="Normal"/>
    <w:semiHidden/>
    <w:pPr>
      <w:spacing w:line="480" w:lineRule="auto"/>
    </w:pPr>
  </w:style>
  <w:style w:type="character" w:customStyle="1" w:styleId="BodyText2Char">
    <w:name w:val="Body Text 2 Char"/>
    <w:rPr>
      <w:rFonts w:ascii="Tunga" w:eastAsia="Arial Unicode MS" w:hAnsi="Tunga" w:cs="Tunga"/>
      <w:sz w:val="22"/>
      <w:szCs w:val="22"/>
      <w:lang w:eastAsia="de-DE"/>
    </w:rPr>
  </w:style>
  <w:style w:type="paragraph" w:customStyle="1" w:styleId="ActionDocument">
    <w:name w:val="Action Document"/>
    <w:basedOn w:val="Normal"/>
    <w:qFormat/>
    <w:pPr>
      <w:shd w:val="clear" w:color="auto" w:fill="FFFFFF"/>
      <w:ind w:right="58"/>
    </w:pPr>
    <w:rPr>
      <w:rFonts w:ascii="Times New Roman" w:hAnsi="Times New Roman" w:cs="Times New Roman"/>
    </w:rPr>
  </w:style>
  <w:style w:type="character" w:customStyle="1" w:styleId="ActionDocumentChar">
    <w:name w:val="Action Document Char"/>
    <w:rPr>
      <w:rFonts w:eastAsia="Arial Unicode MS"/>
      <w:sz w:val="22"/>
      <w:szCs w:val="22"/>
      <w:shd w:val="clear" w:color="auto" w:fill="FFFFFF"/>
      <w:lang w:val="x-none" w:eastAsia="de-DE"/>
    </w:rPr>
  </w:style>
  <w:style w:type="paragraph" w:styleId="Quote">
    <w:name w:val="Quote"/>
    <w:basedOn w:val="ActionDocument"/>
    <w:next w:val="Normal"/>
    <w:qFormat/>
    <w:pPr>
      <w:spacing w:before="0"/>
      <w:jc w:val="left"/>
    </w:pPr>
    <w:rPr>
      <w:sz w:val="20"/>
    </w:rPr>
  </w:style>
  <w:style w:type="character" w:customStyle="1" w:styleId="QuoteChar">
    <w:name w:val="Quote Char"/>
    <w:rPr>
      <w:rFonts w:eastAsia="Arial Unicode MS"/>
      <w:szCs w:val="22"/>
      <w:shd w:val="clear" w:color="auto" w:fill="FFFFFF"/>
      <w:lang w:val="x-none" w:eastAsia="de-DE"/>
    </w:rPr>
  </w:style>
  <w:style w:type="paragraph" w:customStyle="1" w:styleId="Paragrafoelenco">
    <w:name w:val="Paragrafo elenco"/>
    <w:basedOn w:val="Normal"/>
    <w:pPr>
      <w:widowControl w:val="0"/>
      <w:spacing w:before="0" w:after="0"/>
      <w:ind w:left="838" w:hanging="360"/>
      <w:jc w:val="left"/>
    </w:pPr>
    <w:rPr>
      <w:rFonts w:ascii="Times New Roman" w:eastAsia="Times New Roman" w:hAnsi="Times New Roman"/>
      <w:lang w:val="en-US" w:eastAsia="en-US"/>
    </w:rPr>
  </w:style>
  <w:style w:type="character" w:styleId="FollowedHyperlink">
    <w:name w:val="FollowedHyperlink"/>
    <w:semiHidden/>
    <w:rPr>
      <w:color w:val="800080"/>
      <w:u w:val="single"/>
    </w:rPr>
  </w:style>
  <w:style w:type="paragraph" w:customStyle="1" w:styleId="ListParagraph1">
    <w:name w:val="List Paragraph1"/>
    <w:aliases w:val="List Paragraph (numbered (a)),Normal 1,List Paragraph 1,Akapit z listą BS,Bullets,NumberedParas,Bullet point,Table of contents numbered,Colorful List - Accent 11,Medium Grid 1 - Accent 21,Numbered List Paragraph,References,List_Paragraph"/>
    <w:basedOn w:val="Normal"/>
    <w:uiPriority w:val="34"/>
    <w:qFormat/>
    <w:pPr>
      <w:spacing w:before="0" w:after="200" w:line="276" w:lineRule="auto"/>
      <w:ind w:left="720"/>
      <w:jc w:val="left"/>
    </w:pPr>
    <w:rPr>
      <w:rFonts w:ascii="Arial Narrow" w:eastAsia="Times New Roman" w:hAnsi="Arial Narrow"/>
      <w:lang w:val="bs-Latn-BA" w:eastAsia="en-US"/>
    </w:rPr>
  </w:style>
  <w:style w:type="paragraph" w:styleId="BodyText3">
    <w:name w:val="Body Text 3"/>
    <w:basedOn w:val="Normal"/>
    <w:link w:val="BodyText3Char"/>
    <w:semiHidden/>
    <w:pPr>
      <w:numPr>
        <w:ilvl w:val="12"/>
      </w:numPr>
      <w:spacing w:before="60" w:after="0"/>
      <w:jc w:val="left"/>
    </w:pPr>
    <w:rPr>
      <w:rFonts w:ascii="Times New Roman Bold" w:hAnsi="Times New Roman Bold"/>
      <w:b/>
      <w:sz w:val="14"/>
      <w:szCs w:val="14"/>
      <w:lang w:val="mk-MK"/>
    </w:rPr>
  </w:style>
  <w:style w:type="character" w:customStyle="1" w:styleId="FootnoteTextCharCharCharChar">
    <w:name w:val="Footnote Text Char Char Char Char"/>
    <w:aliases w:val="Footnote Text Char Char Char1,Fußnote Char,Footnote Char,Footnote Text Char1 Char Char,Footnote Text Char1 Char Char Char Char,Footnote Text Char Char Char Char Char Char,Fußnotentextf Char,Footnote Text Blue Char,fn Ch"/>
    <w:semiHidden/>
    <w:rPr>
      <w:rFonts w:ascii="Tunga" w:eastAsia="Arial Unicode MS" w:hAnsi="Tunga" w:cs="Tunga"/>
      <w:lang w:val="en-GB" w:eastAsia="de-DE"/>
    </w:rPr>
  </w:style>
  <w:style w:type="character" w:customStyle="1" w:styleId="Heading8Char">
    <w:name w:val="Heading 8 Char"/>
    <w:rPr>
      <w:rFonts w:eastAsia="Arial Unicode MS" w:cs="Tunga"/>
      <w:b/>
      <w:bCs/>
      <w:sz w:val="22"/>
      <w:szCs w:val="22"/>
      <w:lang w:val="en-GB" w:eastAsia="de-DE"/>
    </w:rPr>
  </w:style>
  <w:style w:type="paragraph" w:customStyle="1" w:styleId="BVIfnrChar1CharCharChar">
    <w:name w:val="BVI fnr Char1 Char Char Char"/>
    <w:aliases w:val="BVI fnr Car Car Char1 Char Char Char,BVI fnr Car Char1 Char Char Char,BVI fnr Car Car Car Car Char Char1 Char Char"/>
    <w:basedOn w:val="Normal"/>
    <w:pPr>
      <w:spacing w:after="160" w:line="240" w:lineRule="exact"/>
    </w:pPr>
    <w:rPr>
      <w:rFonts w:ascii="Times New Roman" w:eastAsia="Times New Roman" w:hAnsi="Times New Roman" w:cs="Times New Roman"/>
      <w:sz w:val="20"/>
      <w:szCs w:val="20"/>
      <w:vertAlign w:val="superscript"/>
      <w:lang w:val="en-US" w:eastAsia="en-US"/>
    </w:rPr>
  </w:style>
  <w:style w:type="character" w:customStyle="1" w:styleId="ListParagraphChar">
    <w:name w:val="List Paragraph Char"/>
    <w:locked/>
    <w:rPr>
      <w:rFonts w:ascii="Arial Narrow" w:hAnsi="Arial Narrow"/>
      <w:szCs w:val="24"/>
      <w:lang w:val="bs-Latn-BA"/>
    </w:rPr>
  </w:style>
  <w:style w:type="paragraph" w:styleId="ListParagraph">
    <w:name w:val="List Paragraph"/>
    <w:basedOn w:val="Normal"/>
    <w:uiPriority w:val="99"/>
    <w:qFormat/>
    <w:pPr>
      <w:ind w:left="720"/>
    </w:pPr>
    <w:rPr>
      <w:rFonts w:ascii="Arial Narrow" w:eastAsia="Times New Roman" w:hAnsi="Arial Narrow" w:cs="Times New Roman"/>
      <w:sz w:val="20"/>
      <w:szCs w:val="24"/>
      <w:lang w:val="bs-Latn-BA" w:eastAsia="en-US"/>
    </w:rPr>
  </w:style>
  <w:style w:type="character" w:customStyle="1" w:styleId="shorttext">
    <w:name w:val="short_text"/>
    <w:rPr>
      <w:rFonts w:cs="Times New Roman"/>
    </w:rPr>
  </w:style>
  <w:style w:type="character" w:customStyle="1" w:styleId="alt-edited">
    <w:name w:val="alt-edited"/>
  </w:style>
  <w:style w:type="character" w:customStyle="1" w:styleId="ReferenceChar">
    <w:name w:val="Reference Char"/>
    <w:locked/>
    <w:rPr>
      <w:rFonts w:ascii="Arial Narrow" w:hAnsi="Arial Narrow"/>
      <w:sz w:val="16"/>
      <w:szCs w:val="18"/>
      <w:lang w:val="en-GB" w:eastAsia="en-GB"/>
    </w:rPr>
  </w:style>
  <w:style w:type="paragraph" w:customStyle="1" w:styleId="Reference">
    <w:name w:val="Reference"/>
    <w:basedOn w:val="FootnoteText"/>
    <w:qFormat/>
    <w:pPr>
      <w:ind w:left="0" w:firstLine="0"/>
      <w:jc w:val="left"/>
    </w:pPr>
    <w:rPr>
      <w:rFonts w:ascii="Arial Narrow" w:eastAsia="Times New Roman" w:hAnsi="Arial Narrow" w:cs="Times New Roman"/>
      <w:sz w:val="16"/>
      <w:szCs w:val="18"/>
      <w:lang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style>
  <w:style w:type="character" w:customStyle="1" w:styleId="FootnoteTextChar1">
    <w:name w:val="Footnote Text Char1"/>
    <w:aliases w:val="Footnote Text Char Char1,Footnote Text Char Char Char Char1,Footnote Text Char Char Char2,Fußnote Char1,Footnote Char1,Footnote Text Char1 Char Char1,Footnote Text Char1 Char Char Char Char1,Footnote Text Char1 Char1 Char Char"/>
    <w:link w:val="FootnoteText"/>
    <w:locked/>
    <w:rPr>
      <w:rFonts w:ascii="Tunga" w:eastAsia="Arial Unicode MS" w:hAnsi="Tunga" w:cs="Tunga"/>
      <w:lang w:val="en-GB" w:eastAsia="de-DE"/>
    </w:rPr>
  </w:style>
  <w:style w:type="paragraph" w:styleId="PlainText">
    <w:name w:val="Plain Text"/>
    <w:basedOn w:val="Normal"/>
    <w:link w:val="PlainTextChar"/>
    <w:uiPriority w:val="99"/>
    <w:unhideWhenUsed/>
    <w:pPr>
      <w:spacing w:before="0" w:after="0"/>
      <w:jc w:val="left"/>
    </w:pPr>
    <w:rPr>
      <w:rFonts w:ascii="Calibri" w:eastAsia="Calibri" w:hAnsi="Calibri" w:cs="Consolas"/>
      <w:szCs w:val="21"/>
      <w:lang w:val="en-US" w:eastAsia="en-US"/>
    </w:rPr>
  </w:style>
  <w:style w:type="character" w:customStyle="1" w:styleId="PlainTextChar">
    <w:name w:val="Plain Text Char"/>
    <w:link w:val="PlainText"/>
    <w:uiPriority w:val="99"/>
    <w:rPr>
      <w:rFonts w:ascii="Calibri" w:eastAsia="Calibri" w:hAnsi="Calibri" w:cs="Consolas"/>
      <w:sz w:val="22"/>
      <w:szCs w:val="21"/>
    </w:rPr>
  </w:style>
  <w:style w:type="character" w:customStyle="1" w:styleId="MediumGrid1-Accent2Char">
    <w:name w:val="Medium Grid 1 - Accent 2 Char"/>
    <w:aliases w:val="Numbered List Paragraph Char,References Char,Numbered Paragraph Char,Main numbered paragraph Char,List_Paragraph Char,Multilevel para_II Char,List Paragraph1 Char,Akapit z listą BS Char,Bullet1 Char,List Paragraph 1 Char"/>
    <w:uiPriority w:val="34"/>
    <w:locked/>
    <w:rPr>
      <w:sz w:val="24"/>
      <w:szCs w:val="24"/>
      <w:lang w:val="en-GB" w:eastAsia="de-DE"/>
    </w:rPr>
  </w:style>
  <w:style w:type="character" w:customStyle="1" w:styleId="BodyText3Char">
    <w:name w:val="Body Text 3 Char"/>
    <w:basedOn w:val="DefaultParagraphFont"/>
    <w:link w:val="BodyText3"/>
    <w:semiHidden/>
    <w:rPr>
      <w:rFonts w:ascii="Times New Roman Bold" w:eastAsia="Arial Unicode MS" w:hAnsi="Times New Roman Bold" w:cs="Tunga"/>
      <w:b/>
      <w:sz w:val="14"/>
      <w:szCs w:val="14"/>
      <w:lang w:val="mk-MK" w:eastAsia="de-DE"/>
    </w:rPr>
  </w:style>
  <w:style w:type="character" w:customStyle="1" w:styleId="st1">
    <w:name w:val="st1"/>
    <w:basedOn w:val="DefaultParagraphFont"/>
  </w:style>
  <w:style w:type="paragraph" w:customStyle="1" w:styleId="Bullet">
    <w:name w:val="Bullet"/>
    <w:basedOn w:val="Normal"/>
    <w:uiPriority w:val="99"/>
    <w:rsid w:val="00FF5CA3"/>
    <w:pPr>
      <w:numPr>
        <w:numId w:val="68"/>
      </w:numPr>
      <w:spacing w:before="0" w:after="60"/>
    </w:pPr>
    <w:rPr>
      <w:rFonts w:ascii="Times New Roman" w:eastAsia="Times New Roman" w:hAnsi="Times New Roman" w:cs="Times New Roman"/>
      <w:sz w:val="23"/>
      <w:lang w:eastAsia="en-GB"/>
    </w:rPr>
  </w:style>
</w:styles>
</file>

<file path=word/webSettings.xml><?xml version="1.0" encoding="utf-8"?>
<w:webSettings xmlns:r="http://schemas.openxmlformats.org/officeDocument/2006/relationships" xmlns:w="http://schemas.openxmlformats.org/wordprocessingml/2006/main">
  <w:divs>
    <w:div w:id="21827628">
      <w:bodyDiv w:val="1"/>
      <w:marLeft w:val="0"/>
      <w:marRight w:val="0"/>
      <w:marTop w:val="0"/>
      <w:marBottom w:val="0"/>
      <w:divBdr>
        <w:top w:val="none" w:sz="0" w:space="0" w:color="auto"/>
        <w:left w:val="none" w:sz="0" w:space="0" w:color="auto"/>
        <w:bottom w:val="none" w:sz="0" w:space="0" w:color="auto"/>
        <w:right w:val="none" w:sz="0" w:space="0" w:color="auto"/>
      </w:divBdr>
    </w:div>
    <w:div w:id="38556173">
      <w:bodyDiv w:val="1"/>
      <w:marLeft w:val="0"/>
      <w:marRight w:val="0"/>
      <w:marTop w:val="0"/>
      <w:marBottom w:val="0"/>
      <w:divBdr>
        <w:top w:val="none" w:sz="0" w:space="0" w:color="auto"/>
        <w:left w:val="none" w:sz="0" w:space="0" w:color="auto"/>
        <w:bottom w:val="none" w:sz="0" w:space="0" w:color="auto"/>
        <w:right w:val="none" w:sz="0" w:space="0" w:color="auto"/>
      </w:divBdr>
    </w:div>
    <w:div w:id="47580366">
      <w:bodyDiv w:val="1"/>
      <w:marLeft w:val="0"/>
      <w:marRight w:val="0"/>
      <w:marTop w:val="0"/>
      <w:marBottom w:val="0"/>
      <w:divBdr>
        <w:top w:val="none" w:sz="0" w:space="0" w:color="auto"/>
        <w:left w:val="none" w:sz="0" w:space="0" w:color="auto"/>
        <w:bottom w:val="none" w:sz="0" w:space="0" w:color="auto"/>
        <w:right w:val="none" w:sz="0" w:space="0" w:color="auto"/>
      </w:divBdr>
    </w:div>
    <w:div w:id="126315907">
      <w:bodyDiv w:val="1"/>
      <w:marLeft w:val="0"/>
      <w:marRight w:val="0"/>
      <w:marTop w:val="0"/>
      <w:marBottom w:val="0"/>
      <w:divBdr>
        <w:top w:val="none" w:sz="0" w:space="0" w:color="auto"/>
        <w:left w:val="none" w:sz="0" w:space="0" w:color="auto"/>
        <w:bottom w:val="none" w:sz="0" w:space="0" w:color="auto"/>
        <w:right w:val="none" w:sz="0" w:space="0" w:color="auto"/>
      </w:divBdr>
    </w:div>
    <w:div w:id="191459342">
      <w:bodyDiv w:val="1"/>
      <w:marLeft w:val="0"/>
      <w:marRight w:val="0"/>
      <w:marTop w:val="0"/>
      <w:marBottom w:val="0"/>
      <w:divBdr>
        <w:top w:val="none" w:sz="0" w:space="0" w:color="auto"/>
        <w:left w:val="none" w:sz="0" w:space="0" w:color="auto"/>
        <w:bottom w:val="none" w:sz="0" w:space="0" w:color="auto"/>
        <w:right w:val="none" w:sz="0" w:space="0" w:color="auto"/>
      </w:divBdr>
    </w:div>
    <w:div w:id="218708198">
      <w:bodyDiv w:val="1"/>
      <w:marLeft w:val="0"/>
      <w:marRight w:val="0"/>
      <w:marTop w:val="0"/>
      <w:marBottom w:val="0"/>
      <w:divBdr>
        <w:top w:val="none" w:sz="0" w:space="0" w:color="auto"/>
        <w:left w:val="none" w:sz="0" w:space="0" w:color="auto"/>
        <w:bottom w:val="none" w:sz="0" w:space="0" w:color="auto"/>
        <w:right w:val="none" w:sz="0" w:space="0" w:color="auto"/>
      </w:divBdr>
    </w:div>
    <w:div w:id="240870860">
      <w:bodyDiv w:val="1"/>
      <w:marLeft w:val="0"/>
      <w:marRight w:val="0"/>
      <w:marTop w:val="0"/>
      <w:marBottom w:val="0"/>
      <w:divBdr>
        <w:top w:val="none" w:sz="0" w:space="0" w:color="auto"/>
        <w:left w:val="none" w:sz="0" w:space="0" w:color="auto"/>
        <w:bottom w:val="none" w:sz="0" w:space="0" w:color="auto"/>
        <w:right w:val="none" w:sz="0" w:space="0" w:color="auto"/>
      </w:divBdr>
    </w:div>
    <w:div w:id="242028957">
      <w:bodyDiv w:val="1"/>
      <w:marLeft w:val="0"/>
      <w:marRight w:val="0"/>
      <w:marTop w:val="0"/>
      <w:marBottom w:val="0"/>
      <w:divBdr>
        <w:top w:val="none" w:sz="0" w:space="0" w:color="auto"/>
        <w:left w:val="none" w:sz="0" w:space="0" w:color="auto"/>
        <w:bottom w:val="none" w:sz="0" w:space="0" w:color="auto"/>
        <w:right w:val="none" w:sz="0" w:space="0" w:color="auto"/>
      </w:divBdr>
    </w:div>
    <w:div w:id="272054464">
      <w:bodyDiv w:val="1"/>
      <w:marLeft w:val="0"/>
      <w:marRight w:val="0"/>
      <w:marTop w:val="0"/>
      <w:marBottom w:val="0"/>
      <w:divBdr>
        <w:top w:val="none" w:sz="0" w:space="0" w:color="auto"/>
        <w:left w:val="none" w:sz="0" w:space="0" w:color="auto"/>
        <w:bottom w:val="none" w:sz="0" w:space="0" w:color="auto"/>
        <w:right w:val="none" w:sz="0" w:space="0" w:color="auto"/>
      </w:divBdr>
    </w:div>
    <w:div w:id="351104041">
      <w:bodyDiv w:val="1"/>
      <w:marLeft w:val="0"/>
      <w:marRight w:val="0"/>
      <w:marTop w:val="0"/>
      <w:marBottom w:val="0"/>
      <w:divBdr>
        <w:top w:val="none" w:sz="0" w:space="0" w:color="auto"/>
        <w:left w:val="none" w:sz="0" w:space="0" w:color="auto"/>
        <w:bottom w:val="none" w:sz="0" w:space="0" w:color="auto"/>
        <w:right w:val="none" w:sz="0" w:space="0" w:color="auto"/>
      </w:divBdr>
    </w:div>
    <w:div w:id="379549146">
      <w:bodyDiv w:val="1"/>
      <w:marLeft w:val="0"/>
      <w:marRight w:val="0"/>
      <w:marTop w:val="0"/>
      <w:marBottom w:val="0"/>
      <w:divBdr>
        <w:top w:val="none" w:sz="0" w:space="0" w:color="auto"/>
        <w:left w:val="none" w:sz="0" w:space="0" w:color="auto"/>
        <w:bottom w:val="none" w:sz="0" w:space="0" w:color="auto"/>
        <w:right w:val="none" w:sz="0" w:space="0" w:color="auto"/>
      </w:divBdr>
    </w:div>
    <w:div w:id="425005760">
      <w:bodyDiv w:val="1"/>
      <w:marLeft w:val="0"/>
      <w:marRight w:val="0"/>
      <w:marTop w:val="0"/>
      <w:marBottom w:val="0"/>
      <w:divBdr>
        <w:top w:val="none" w:sz="0" w:space="0" w:color="auto"/>
        <w:left w:val="none" w:sz="0" w:space="0" w:color="auto"/>
        <w:bottom w:val="none" w:sz="0" w:space="0" w:color="auto"/>
        <w:right w:val="none" w:sz="0" w:space="0" w:color="auto"/>
      </w:divBdr>
    </w:div>
    <w:div w:id="450823168">
      <w:bodyDiv w:val="1"/>
      <w:marLeft w:val="0"/>
      <w:marRight w:val="0"/>
      <w:marTop w:val="0"/>
      <w:marBottom w:val="0"/>
      <w:divBdr>
        <w:top w:val="none" w:sz="0" w:space="0" w:color="auto"/>
        <w:left w:val="none" w:sz="0" w:space="0" w:color="auto"/>
        <w:bottom w:val="none" w:sz="0" w:space="0" w:color="auto"/>
        <w:right w:val="none" w:sz="0" w:space="0" w:color="auto"/>
      </w:divBdr>
    </w:div>
    <w:div w:id="453907684">
      <w:bodyDiv w:val="1"/>
      <w:marLeft w:val="0"/>
      <w:marRight w:val="0"/>
      <w:marTop w:val="0"/>
      <w:marBottom w:val="0"/>
      <w:divBdr>
        <w:top w:val="none" w:sz="0" w:space="0" w:color="auto"/>
        <w:left w:val="none" w:sz="0" w:space="0" w:color="auto"/>
        <w:bottom w:val="none" w:sz="0" w:space="0" w:color="auto"/>
        <w:right w:val="none" w:sz="0" w:space="0" w:color="auto"/>
      </w:divBdr>
    </w:div>
    <w:div w:id="460420546">
      <w:bodyDiv w:val="1"/>
      <w:marLeft w:val="0"/>
      <w:marRight w:val="0"/>
      <w:marTop w:val="0"/>
      <w:marBottom w:val="0"/>
      <w:divBdr>
        <w:top w:val="none" w:sz="0" w:space="0" w:color="auto"/>
        <w:left w:val="none" w:sz="0" w:space="0" w:color="auto"/>
        <w:bottom w:val="none" w:sz="0" w:space="0" w:color="auto"/>
        <w:right w:val="none" w:sz="0" w:space="0" w:color="auto"/>
      </w:divBdr>
    </w:div>
    <w:div w:id="540283843">
      <w:bodyDiv w:val="1"/>
      <w:marLeft w:val="0"/>
      <w:marRight w:val="0"/>
      <w:marTop w:val="0"/>
      <w:marBottom w:val="0"/>
      <w:divBdr>
        <w:top w:val="none" w:sz="0" w:space="0" w:color="auto"/>
        <w:left w:val="none" w:sz="0" w:space="0" w:color="auto"/>
        <w:bottom w:val="none" w:sz="0" w:space="0" w:color="auto"/>
        <w:right w:val="none" w:sz="0" w:space="0" w:color="auto"/>
      </w:divBdr>
    </w:div>
    <w:div w:id="571355763">
      <w:bodyDiv w:val="1"/>
      <w:marLeft w:val="0"/>
      <w:marRight w:val="0"/>
      <w:marTop w:val="0"/>
      <w:marBottom w:val="0"/>
      <w:divBdr>
        <w:top w:val="none" w:sz="0" w:space="0" w:color="auto"/>
        <w:left w:val="none" w:sz="0" w:space="0" w:color="auto"/>
        <w:bottom w:val="none" w:sz="0" w:space="0" w:color="auto"/>
        <w:right w:val="none" w:sz="0" w:space="0" w:color="auto"/>
      </w:divBdr>
    </w:div>
    <w:div w:id="575747346">
      <w:bodyDiv w:val="1"/>
      <w:marLeft w:val="0"/>
      <w:marRight w:val="0"/>
      <w:marTop w:val="0"/>
      <w:marBottom w:val="0"/>
      <w:divBdr>
        <w:top w:val="none" w:sz="0" w:space="0" w:color="auto"/>
        <w:left w:val="none" w:sz="0" w:space="0" w:color="auto"/>
        <w:bottom w:val="none" w:sz="0" w:space="0" w:color="auto"/>
        <w:right w:val="none" w:sz="0" w:space="0" w:color="auto"/>
      </w:divBdr>
    </w:div>
    <w:div w:id="655885626">
      <w:bodyDiv w:val="1"/>
      <w:marLeft w:val="0"/>
      <w:marRight w:val="0"/>
      <w:marTop w:val="0"/>
      <w:marBottom w:val="0"/>
      <w:divBdr>
        <w:top w:val="none" w:sz="0" w:space="0" w:color="auto"/>
        <w:left w:val="none" w:sz="0" w:space="0" w:color="auto"/>
        <w:bottom w:val="none" w:sz="0" w:space="0" w:color="auto"/>
        <w:right w:val="none" w:sz="0" w:space="0" w:color="auto"/>
      </w:divBdr>
    </w:div>
    <w:div w:id="678237819">
      <w:bodyDiv w:val="1"/>
      <w:marLeft w:val="0"/>
      <w:marRight w:val="0"/>
      <w:marTop w:val="0"/>
      <w:marBottom w:val="0"/>
      <w:divBdr>
        <w:top w:val="none" w:sz="0" w:space="0" w:color="auto"/>
        <w:left w:val="none" w:sz="0" w:space="0" w:color="auto"/>
        <w:bottom w:val="none" w:sz="0" w:space="0" w:color="auto"/>
        <w:right w:val="none" w:sz="0" w:space="0" w:color="auto"/>
      </w:divBdr>
    </w:div>
    <w:div w:id="700283887">
      <w:bodyDiv w:val="1"/>
      <w:marLeft w:val="0"/>
      <w:marRight w:val="0"/>
      <w:marTop w:val="0"/>
      <w:marBottom w:val="0"/>
      <w:divBdr>
        <w:top w:val="none" w:sz="0" w:space="0" w:color="auto"/>
        <w:left w:val="none" w:sz="0" w:space="0" w:color="auto"/>
        <w:bottom w:val="none" w:sz="0" w:space="0" w:color="auto"/>
        <w:right w:val="none" w:sz="0" w:space="0" w:color="auto"/>
      </w:divBdr>
    </w:div>
    <w:div w:id="750663225">
      <w:bodyDiv w:val="1"/>
      <w:marLeft w:val="0"/>
      <w:marRight w:val="0"/>
      <w:marTop w:val="0"/>
      <w:marBottom w:val="0"/>
      <w:divBdr>
        <w:top w:val="none" w:sz="0" w:space="0" w:color="auto"/>
        <w:left w:val="none" w:sz="0" w:space="0" w:color="auto"/>
        <w:bottom w:val="none" w:sz="0" w:space="0" w:color="auto"/>
        <w:right w:val="none" w:sz="0" w:space="0" w:color="auto"/>
      </w:divBdr>
    </w:div>
    <w:div w:id="767820731">
      <w:bodyDiv w:val="1"/>
      <w:marLeft w:val="0"/>
      <w:marRight w:val="0"/>
      <w:marTop w:val="0"/>
      <w:marBottom w:val="0"/>
      <w:divBdr>
        <w:top w:val="none" w:sz="0" w:space="0" w:color="auto"/>
        <w:left w:val="none" w:sz="0" w:space="0" w:color="auto"/>
        <w:bottom w:val="none" w:sz="0" w:space="0" w:color="auto"/>
        <w:right w:val="none" w:sz="0" w:space="0" w:color="auto"/>
      </w:divBdr>
    </w:div>
    <w:div w:id="790634547">
      <w:bodyDiv w:val="1"/>
      <w:marLeft w:val="0"/>
      <w:marRight w:val="0"/>
      <w:marTop w:val="0"/>
      <w:marBottom w:val="0"/>
      <w:divBdr>
        <w:top w:val="none" w:sz="0" w:space="0" w:color="auto"/>
        <w:left w:val="none" w:sz="0" w:space="0" w:color="auto"/>
        <w:bottom w:val="none" w:sz="0" w:space="0" w:color="auto"/>
        <w:right w:val="none" w:sz="0" w:space="0" w:color="auto"/>
      </w:divBdr>
    </w:div>
    <w:div w:id="849371115">
      <w:bodyDiv w:val="1"/>
      <w:marLeft w:val="0"/>
      <w:marRight w:val="0"/>
      <w:marTop w:val="0"/>
      <w:marBottom w:val="0"/>
      <w:divBdr>
        <w:top w:val="none" w:sz="0" w:space="0" w:color="auto"/>
        <w:left w:val="none" w:sz="0" w:space="0" w:color="auto"/>
        <w:bottom w:val="none" w:sz="0" w:space="0" w:color="auto"/>
        <w:right w:val="none" w:sz="0" w:space="0" w:color="auto"/>
      </w:divBdr>
    </w:div>
    <w:div w:id="860974986">
      <w:bodyDiv w:val="1"/>
      <w:marLeft w:val="0"/>
      <w:marRight w:val="0"/>
      <w:marTop w:val="0"/>
      <w:marBottom w:val="0"/>
      <w:divBdr>
        <w:top w:val="none" w:sz="0" w:space="0" w:color="auto"/>
        <w:left w:val="none" w:sz="0" w:space="0" w:color="auto"/>
        <w:bottom w:val="none" w:sz="0" w:space="0" w:color="auto"/>
        <w:right w:val="none" w:sz="0" w:space="0" w:color="auto"/>
      </w:divBdr>
    </w:div>
    <w:div w:id="969015770">
      <w:bodyDiv w:val="1"/>
      <w:marLeft w:val="0"/>
      <w:marRight w:val="0"/>
      <w:marTop w:val="0"/>
      <w:marBottom w:val="0"/>
      <w:divBdr>
        <w:top w:val="none" w:sz="0" w:space="0" w:color="auto"/>
        <w:left w:val="none" w:sz="0" w:space="0" w:color="auto"/>
        <w:bottom w:val="none" w:sz="0" w:space="0" w:color="auto"/>
        <w:right w:val="none" w:sz="0" w:space="0" w:color="auto"/>
      </w:divBdr>
    </w:div>
    <w:div w:id="998730450">
      <w:bodyDiv w:val="1"/>
      <w:marLeft w:val="0"/>
      <w:marRight w:val="0"/>
      <w:marTop w:val="0"/>
      <w:marBottom w:val="0"/>
      <w:divBdr>
        <w:top w:val="none" w:sz="0" w:space="0" w:color="auto"/>
        <w:left w:val="none" w:sz="0" w:space="0" w:color="auto"/>
        <w:bottom w:val="none" w:sz="0" w:space="0" w:color="auto"/>
        <w:right w:val="none" w:sz="0" w:space="0" w:color="auto"/>
      </w:divBdr>
    </w:div>
    <w:div w:id="1006514178">
      <w:bodyDiv w:val="1"/>
      <w:marLeft w:val="0"/>
      <w:marRight w:val="0"/>
      <w:marTop w:val="0"/>
      <w:marBottom w:val="0"/>
      <w:divBdr>
        <w:top w:val="none" w:sz="0" w:space="0" w:color="auto"/>
        <w:left w:val="none" w:sz="0" w:space="0" w:color="auto"/>
        <w:bottom w:val="none" w:sz="0" w:space="0" w:color="auto"/>
        <w:right w:val="none" w:sz="0" w:space="0" w:color="auto"/>
      </w:divBdr>
      <w:divsChild>
        <w:div w:id="1817257484">
          <w:marLeft w:val="0"/>
          <w:marRight w:val="0"/>
          <w:marTop w:val="0"/>
          <w:marBottom w:val="0"/>
          <w:divBdr>
            <w:top w:val="none" w:sz="0" w:space="0" w:color="auto"/>
            <w:left w:val="none" w:sz="0" w:space="0" w:color="auto"/>
            <w:bottom w:val="none" w:sz="0" w:space="0" w:color="auto"/>
            <w:right w:val="none" w:sz="0" w:space="0" w:color="auto"/>
          </w:divBdr>
          <w:divsChild>
            <w:div w:id="165707260">
              <w:marLeft w:val="0"/>
              <w:marRight w:val="0"/>
              <w:marTop w:val="0"/>
              <w:marBottom w:val="0"/>
              <w:divBdr>
                <w:top w:val="none" w:sz="0" w:space="0" w:color="auto"/>
                <w:left w:val="none" w:sz="0" w:space="0" w:color="auto"/>
                <w:bottom w:val="none" w:sz="0" w:space="0" w:color="auto"/>
                <w:right w:val="none" w:sz="0" w:space="0" w:color="auto"/>
              </w:divBdr>
              <w:divsChild>
                <w:div w:id="520511778">
                  <w:marLeft w:val="0"/>
                  <w:marRight w:val="0"/>
                  <w:marTop w:val="0"/>
                  <w:marBottom w:val="0"/>
                  <w:divBdr>
                    <w:top w:val="none" w:sz="0" w:space="0" w:color="auto"/>
                    <w:left w:val="none" w:sz="0" w:space="0" w:color="auto"/>
                    <w:bottom w:val="none" w:sz="0" w:space="0" w:color="auto"/>
                    <w:right w:val="none" w:sz="0" w:space="0" w:color="auto"/>
                  </w:divBdr>
                  <w:divsChild>
                    <w:div w:id="518743702">
                      <w:marLeft w:val="0"/>
                      <w:marRight w:val="0"/>
                      <w:marTop w:val="0"/>
                      <w:marBottom w:val="498"/>
                      <w:divBdr>
                        <w:top w:val="none" w:sz="0" w:space="0" w:color="auto"/>
                        <w:left w:val="none" w:sz="0" w:space="0" w:color="auto"/>
                        <w:bottom w:val="none" w:sz="0" w:space="0" w:color="auto"/>
                        <w:right w:val="none" w:sz="0" w:space="0" w:color="auto"/>
                      </w:divBdr>
                      <w:divsChild>
                        <w:div w:id="534579529">
                          <w:marLeft w:val="0"/>
                          <w:marRight w:val="0"/>
                          <w:marTop w:val="0"/>
                          <w:marBottom w:val="0"/>
                          <w:divBdr>
                            <w:top w:val="none" w:sz="0" w:space="0" w:color="auto"/>
                            <w:left w:val="none" w:sz="0" w:space="0" w:color="auto"/>
                            <w:bottom w:val="none" w:sz="0" w:space="0" w:color="auto"/>
                            <w:right w:val="none" w:sz="0" w:space="0" w:color="auto"/>
                          </w:divBdr>
                        </w:div>
                        <w:div w:id="11411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0107">
      <w:bodyDiv w:val="1"/>
      <w:marLeft w:val="0"/>
      <w:marRight w:val="0"/>
      <w:marTop w:val="0"/>
      <w:marBottom w:val="0"/>
      <w:divBdr>
        <w:top w:val="none" w:sz="0" w:space="0" w:color="auto"/>
        <w:left w:val="none" w:sz="0" w:space="0" w:color="auto"/>
        <w:bottom w:val="none" w:sz="0" w:space="0" w:color="auto"/>
        <w:right w:val="none" w:sz="0" w:space="0" w:color="auto"/>
      </w:divBdr>
    </w:div>
    <w:div w:id="1054701171">
      <w:bodyDiv w:val="1"/>
      <w:marLeft w:val="0"/>
      <w:marRight w:val="0"/>
      <w:marTop w:val="0"/>
      <w:marBottom w:val="0"/>
      <w:divBdr>
        <w:top w:val="none" w:sz="0" w:space="0" w:color="auto"/>
        <w:left w:val="none" w:sz="0" w:space="0" w:color="auto"/>
        <w:bottom w:val="none" w:sz="0" w:space="0" w:color="auto"/>
        <w:right w:val="none" w:sz="0" w:space="0" w:color="auto"/>
      </w:divBdr>
    </w:div>
    <w:div w:id="1056588093">
      <w:bodyDiv w:val="1"/>
      <w:marLeft w:val="0"/>
      <w:marRight w:val="0"/>
      <w:marTop w:val="0"/>
      <w:marBottom w:val="0"/>
      <w:divBdr>
        <w:top w:val="none" w:sz="0" w:space="0" w:color="auto"/>
        <w:left w:val="none" w:sz="0" w:space="0" w:color="auto"/>
        <w:bottom w:val="none" w:sz="0" w:space="0" w:color="auto"/>
        <w:right w:val="none" w:sz="0" w:space="0" w:color="auto"/>
      </w:divBdr>
    </w:div>
    <w:div w:id="1146630909">
      <w:bodyDiv w:val="1"/>
      <w:marLeft w:val="0"/>
      <w:marRight w:val="0"/>
      <w:marTop w:val="0"/>
      <w:marBottom w:val="0"/>
      <w:divBdr>
        <w:top w:val="none" w:sz="0" w:space="0" w:color="auto"/>
        <w:left w:val="none" w:sz="0" w:space="0" w:color="auto"/>
        <w:bottom w:val="none" w:sz="0" w:space="0" w:color="auto"/>
        <w:right w:val="none" w:sz="0" w:space="0" w:color="auto"/>
      </w:divBdr>
    </w:div>
    <w:div w:id="1230536561">
      <w:bodyDiv w:val="1"/>
      <w:marLeft w:val="0"/>
      <w:marRight w:val="0"/>
      <w:marTop w:val="0"/>
      <w:marBottom w:val="0"/>
      <w:divBdr>
        <w:top w:val="none" w:sz="0" w:space="0" w:color="auto"/>
        <w:left w:val="none" w:sz="0" w:space="0" w:color="auto"/>
        <w:bottom w:val="none" w:sz="0" w:space="0" w:color="auto"/>
        <w:right w:val="none" w:sz="0" w:space="0" w:color="auto"/>
      </w:divBdr>
    </w:div>
    <w:div w:id="1338843114">
      <w:bodyDiv w:val="1"/>
      <w:marLeft w:val="0"/>
      <w:marRight w:val="0"/>
      <w:marTop w:val="0"/>
      <w:marBottom w:val="0"/>
      <w:divBdr>
        <w:top w:val="none" w:sz="0" w:space="0" w:color="auto"/>
        <w:left w:val="none" w:sz="0" w:space="0" w:color="auto"/>
        <w:bottom w:val="none" w:sz="0" w:space="0" w:color="auto"/>
        <w:right w:val="none" w:sz="0" w:space="0" w:color="auto"/>
      </w:divBdr>
    </w:div>
    <w:div w:id="1348946672">
      <w:bodyDiv w:val="1"/>
      <w:marLeft w:val="0"/>
      <w:marRight w:val="0"/>
      <w:marTop w:val="0"/>
      <w:marBottom w:val="0"/>
      <w:divBdr>
        <w:top w:val="none" w:sz="0" w:space="0" w:color="auto"/>
        <w:left w:val="none" w:sz="0" w:space="0" w:color="auto"/>
        <w:bottom w:val="none" w:sz="0" w:space="0" w:color="auto"/>
        <w:right w:val="none" w:sz="0" w:space="0" w:color="auto"/>
      </w:divBdr>
    </w:div>
    <w:div w:id="1410077054">
      <w:bodyDiv w:val="1"/>
      <w:marLeft w:val="0"/>
      <w:marRight w:val="0"/>
      <w:marTop w:val="0"/>
      <w:marBottom w:val="0"/>
      <w:divBdr>
        <w:top w:val="none" w:sz="0" w:space="0" w:color="auto"/>
        <w:left w:val="none" w:sz="0" w:space="0" w:color="auto"/>
        <w:bottom w:val="none" w:sz="0" w:space="0" w:color="auto"/>
        <w:right w:val="none" w:sz="0" w:space="0" w:color="auto"/>
      </w:divBdr>
    </w:div>
    <w:div w:id="1505627054">
      <w:bodyDiv w:val="1"/>
      <w:marLeft w:val="0"/>
      <w:marRight w:val="0"/>
      <w:marTop w:val="0"/>
      <w:marBottom w:val="0"/>
      <w:divBdr>
        <w:top w:val="none" w:sz="0" w:space="0" w:color="auto"/>
        <w:left w:val="none" w:sz="0" w:space="0" w:color="auto"/>
        <w:bottom w:val="none" w:sz="0" w:space="0" w:color="auto"/>
        <w:right w:val="none" w:sz="0" w:space="0" w:color="auto"/>
      </w:divBdr>
    </w:div>
    <w:div w:id="1555266163">
      <w:bodyDiv w:val="1"/>
      <w:marLeft w:val="0"/>
      <w:marRight w:val="0"/>
      <w:marTop w:val="0"/>
      <w:marBottom w:val="0"/>
      <w:divBdr>
        <w:top w:val="none" w:sz="0" w:space="0" w:color="auto"/>
        <w:left w:val="none" w:sz="0" w:space="0" w:color="auto"/>
        <w:bottom w:val="none" w:sz="0" w:space="0" w:color="auto"/>
        <w:right w:val="none" w:sz="0" w:space="0" w:color="auto"/>
      </w:divBdr>
    </w:div>
    <w:div w:id="1569068953">
      <w:bodyDiv w:val="1"/>
      <w:marLeft w:val="0"/>
      <w:marRight w:val="0"/>
      <w:marTop w:val="0"/>
      <w:marBottom w:val="0"/>
      <w:divBdr>
        <w:top w:val="none" w:sz="0" w:space="0" w:color="auto"/>
        <w:left w:val="none" w:sz="0" w:space="0" w:color="auto"/>
        <w:bottom w:val="none" w:sz="0" w:space="0" w:color="auto"/>
        <w:right w:val="none" w:sz="0" w:space="0" w:color="auto"/>
      </w:divBdr>
    </w:div>
    <w:div w:id="1573588360">
      <w:bodyDiv w:val="1"/>
      <w:marLeft w:val="0"/>
      <w:marRight w:val="0"/>
      <w:marTop w:val="0"/>
      <w:marBottom w:val="0"/>
      <w:divBdr>
        <w:top w:val="none" w:sz="0" w:space="0" w:color="auto"/>
        <w:left w:val="none" w:sz="0" w:space="0" w:color="auto"/>
        <w:bottom w:val="none" w:sz="0" w:space="0" w:color="auto"/>
        <w:right w:val="none" w:sz="0" w:space="0" w:color="auto"/>
      </w:divBdr>
    </w:div>
    <w:div w:id="1802382835">
      <w:bodyDiv w:val="1"/>
      <w:marLeft w:val="0"/>
      <w:marRight w:val="0"/>
      <w:marTop w:val="0"/>
      <w:marBottom w:val="0"/>
      <w:divBdr>
        <w:top w:val="none" w:sz="0" w:space="0" w:color="auto"/>
        <w:left w:val="none" w:sz="0" w:space="0" w:color="auto"/>
        <w:bottom w:val="none" w:sz="0" w:space="0" w:color="auto"/>
        <w:right w:val="none" w:sz="0" w:space="0" w:color="auto"/>
      </w:divBdr>
    </w:div>
    <w:div w:id="1821774980">
      <w:bodyDiv w:val="1"/>
      <w:marLeft w:val="0"/>
      <w:marRight w:val="0"/>
      <w:marTop w:val="0"/>
      <w:marBottom w:val="0"/>
      <w:divBdr>
        <w:top w:val="none" w:sz="0" w:space="0" w:color="auto"/>
        <w:left w:val="none" w:sz="0" w:space="0" w:color="auto"/>
        <w:bottom w:val="none" w:sz="0" w:space="0" w:color="auto"/>
        <w:right w:val="none" w:sz="0" w:space="0" w:color="auto"/>
      </w:divBdr>
    </w:div>
    <w:div w:id="1882932325">
      <w:bodyDiv w:val="1"/>
      <w:marLeft w:val="0"/>
      <w:marRight w:val="0"/>
      <w:marTop w:val="0"/>
      <w:marBottom w:val="0"/>
      <w:divBdr>
        <w:top w:val="none" w:sz="0" w:space="0" w:color="auto"/>
        <w:left w:val="none" w:sz="0" w:space="0" w:color="auto"/>
        <w:bottom w:val="none" w:sz="0" w:space="0" w:color="auto"/>
        <w:right w:val="none" w:sz="0" w:space="0" w:color="auto"/>
      </w:divBdr>
    </w:div>
    <w:div w:id="1911453504">
      <w:bodyDiv w:val="1"/>
      <w:marLeft w:val="0"/>
      <w:marRight w:val="0"/>
      <w:marTop w:val="0"/>
      <w:marBottom w:val="0"/>
      <w:divBdr>
        <w:top w:val="none" w:sz="0" w:space="0" w:color="auto"/>
        <w:left w:val="none" w:sz="0" w:space="0" w:color="auto"/>
        <w:bottom w:val="none" w:sz="0" w:space="0" w:color="auto"/>
        <w:right w:val="none" w:sz="0" w:space="0" w:color="auto"/>
      </w:divBdr>
    </w:div>
    <w:div w:id="204840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fctSelect('fldDATA_COD','15110')"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arency.org/gcb2013/country/?country=macedonia_(fy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86300525-323a-45ef-8f0b-9ba2a8570747">EN</EC_Collab_DocumentLanguage>
    <_Status xmlns="http://schemas.microsoft.com/sharepoint/v3/fields">Not Started</_Status>
    <EC_Collab_Status xmlns="86300525-323a-45ef-8f0b-9ba2a8570747">Not Started</EC_Collab_Status>
    <EC_Collab_Reference xmlns="86300525-323a-45ef-8f0b-9ba2a85707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EF44A0CC19E3A47979ACE1AEE86DB02" ma:contentTypeVersion="0" ma:contentTypeDescription="Create a new document in this library." ma:contentTypeScope="" ma:versionID="50d910811b062cb1ac04b1b5d4b328a1">
  <xsd:schema xmlns:xsd="http://www.w3.org/2001/XMLSchema" xmlns:xs="http://www.w3.org/2001/XMLSchema" xmlns:p="http://schemas.microsoft.com/office/2006/metadata/properties" xmlns:ns2="http://schemas.microsoft.com/sharepoint/v3/fields" xmlns:ns3="86300525-323a-45ef-8f0b-9ba2a8570747" targetNamespace="http://schemas.microsoft.com/office/2006/metadata/properties" ma:root="true" ma:fieldsID="eda4f5d2d88abe8aa51d4767fa6293f0" ns2:_="" ns3:_="">
    <xsd:import namespace="http://schemas.microsoft.com/sharepoint/v3/fields"/>
    <xsd:import namespace="86300525-323a-45ef-8f0b-9ba2a8570747"/>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6300525-323a-45ef-8f0b-9ba2a857074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BC9F-BC53-4018-8DBC-09CED2C133F5}">
  <ds:schemaRefs>
    <ds:schemaRef ds:uri="http://schemas.microsoft.com/office/2006/metadata/properties"/>
    <ds:schemaRef ds:uri="http://schemas.microsoft.com/office/infopath/2007/PartnerControls"/>
    <ds:schemaRef ds:uri="86300525-323a-45ef-8f0b-9ba2a8570747"/>
    <ds:schemaRef ds:uri="http://schemas.microsoft.com/sharepoint/v3/fields"/>
  </ds:schemaRefs>
</ds:datastoreItem>
</file>

<file path=customXml/itemProps2.xml><?xml version="1.0" encoding="utf-8"?>
<ds:datastoreItem xmlns:ds="http://schemas.openxmlformats.org/officeDocument/2006/customXml" ds:itemID="{DE3018F6-288A-43C8-941B-477B975DA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86300525-323a-45ef-8f0b-9ba2a8570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87617-4BDB-4EA9-A1AE-69447F783F3C}">
  <ds:schemaRefs>
    <ds:schemaRef ds:uri="http://schemas.microsoft.com/sharepoint/v3/contenttype/forms"/>
  </ds:schemaRefs>
</ds:datastoreItem>
</file>

<file path=customXml/itemProps4.xml><?xml version="1.0" encoding="utf-8"?>
<ds:datastoreItem xmlns:ds="http://schemas.openxmlformats.org/officeDocument/2006/customXml" ds:itemID="{17555E6A-58FD-426F-9E8A-9E250998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13699</Words>
  <Characters>78090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action document template (country) empty</vt:lpstr>
    </vt:vector>
  </TitlesOfParts>
  <Company>Drzaven zavod za statistika</Company>
  <LinksUpToDate>false</LinksUpToDate>
  <CharactersWithSpaces>91606</CharactersWithSpaces>
  <SharedDoc>false</SharedDoc>
  <HLinks>
    <vt:vector size="66" baseType="variant">
      <vt:variant>
        <vt:i4>2293870</vt:i4>
      </vt:variant>
      <vt:variant>
        <vt:i4>36</vt:i4>
      </vt:variant>
      <vt:variant>
        <vt:i4>0</vt:i4>
      </vt:variant>
      <vt:variant>
        <vt:i4>5</vt:i4>
      </vt:variant>
      <vt:variant>
        <vt:lpwstr>http://www.merc.org.mk/Files/Write/Documents/02310/en/Roma-Strategy-in-Macedonia-2014-2020.pdf</vt:lpwstr>
      </vt:variant>
      <vt:variant>
        <vt:lpwstr/>
      </vt:variant>
      <vt:variant>
        <vt:i4>1572909</vt:i4>
      </vt:variant>
      <vt:variant>
        <vt:i4>33</vt:i4>
      </vt:variant>
      <vt:variant>
        <vt:i4>0</vt:i4>
      </vt:variant>
      <vt:variant>
        <vt:i4>5</vt:i4>
      </vt:variant>
      <vt:variant>
        <vt:lpwstr>http://ec.europa.eu/enlargement/pdf/the_former_yugoslav_republic_of_macedonia/framework_agreement_ohrid_130801_en.pdf</vt:lpwstr>
      </vt:variant>
      <vt:variant>
        <vt:lpwstr/>
      </vt:variant>
      <vt:variant>
        <vt:i4>589947</vt:i4>
      </vt:variant>
      <vt:variant>
        <vt:i4>30</vt:i4>
      </vt:variant>
      <vt:variant>
        <vt:i4>0</vt:i4>
      </vt:variant>
      <vt:variant>
        <vt:i4>5</vt:i4>
      </vt:variant>
      <vt:variant>
        <vt:lpwstr>http://mtsp.gov.mk/WBStorage/Files/diskriminacija_konsolidiran.pdf</vt:lpwstr>
      </vt:variant>
      <vt:variant>
        <vt:lpwstr/>
      </vt:variant>
      <vt:variant>
        <vt:i4>2490407</vt:i4>
      </vt:variant>
      <vt:variant>
        <vt:i4>27</vt:i4>
      </vt:variant>
      <vt:variant>
        <vt:i4>0</vt:i4>
      </vt:variant>
      <vt:variant>
        <vt:i4>5</vt:i4>
      </vt:variant>
      <vt:variant>
        <vt:lpwstr>http://www.mtsp.gov.mk/wbstorage/files/zem.pdf</vt:lpwstr>
      </vt:variant>
      <vt:variant>
        <vt:lpwstr/>
      </vt:variant>
      <vt:variant>
        <vt:i4>524309</vt:i4>
      </vt:variant>
      <vt:variant>
        <vt:i4>18</vt:i4>
      </vt:variant>
      <vt:variant>
        <vt:i4>0</vt:i4>
      </vt:variant>
      <vt:variant>
        <vt:i4>5</vt:i4>
      </vt:variant>
      <vt:variant>
        <vt:lpwstr>http://www.mojtermin.mk/</vt:lpwstr>
      </vt:variant>
      <vt:variant>
        <vt:lpwstr/>
      </vt:variant>
      <vt:variant>
        <vt:i4>524309</vt:i4>
      </vt:variant>
      <vt:variant>
        <vt:i4>15</vt:i4>
      </vt:variant>
      <vt:variant>
        <vt:i4>0</vt:i4>
      </vt:variant>
      <vt:variant>
        <vt:i4>5</vt:i4>
      </vt:variant>
      <vt:variant>
        <vt:lpwstr>http://www.mojtermin.mk/</vt:lpwstr>
      </vt:variant>
      <vt:variant>
        <vt:lpwstr/>
      </vt:variant>
      <vt:variant>
        <vt:i4>524309</vt:i4>
      </vt:variant>
      <vt:variant>
        <vt:i4>12</vt:i4>
      </vt:variant>
      <vt:variant>
        <vt:i4>0</vt:i4>
      </vt:variant>
      <vt:variant>
        <vt:i4>5</vt:i4>
      </vt:variant>
      <vt:variant>
        <vt:lpwstr>http://www.mojtermin.mk/</vt:lpwstr>
      </vt:variant>
      <vt:variant>
        <vt:lpwstr/>
      </vt:variant>
      <vt:variant>
        <vt:i4>524309</vt:i4>
      </vt:variant>
      <vt:variant>
        <vt:i4>9</vt:i4>
      </vt:variant>
      <vt:variant>
        <vt:i4>0</vt:i4>
      </vt:variant>
      <vt:variant>
        <vt:i4>5</vt:i4>
      </vt:variant>
      <vt:variant>
        <vt:lpwstr>http://www.mojtermin.mk/</vt:lpwstr>
      </vt:variant>
      <vt:variant>
        <vt:lpwstr/>
      </vt:variant>
      <vt:variant>
        <vt:i4>5767285</vt:i4>
      </vt:variant>
      <vt:variant>
        <vt:i4>6</vt:i4>
      </vt:variant>
      <vt:variant>
        <vt:i4>0</vt:i4>
      </vt:variant>
      <vt:variant>
        <vt:i4>5</vt:i4>
      </vt:variant>
      <vt:variant>
        <vt:lpwstr>http://ec.europa.eu/enlargement/pdf/the_former_yugoslav_republic_of_macedonia/saa03_01_en.pdf</vt:lpwstr>
      </vt:variant>
      <vt:variant>
        <vt:lpwstr/>
      </vt:variant>
      <vt:variant>
        <vt:i4>1638484</vt:i4>
      </vt:variant>
      <vt:variant>
        <vt:i4>0</vt:i4>
      </vt:variant>
      <vt:variant>
        <vt:i4>0</vt:i4>
      </vt:variant>
      <vt:variant>
        <vt:i4>5</vt:i4>
      </vt:variant>
      <vt:variant>
        <vt:lpwstr>http://ec.europa.eu/enlargement/pdf/key_documents/2016/20161109_report_the_former_yugoslav_republic_of_macedonia.pdf</vt:lpwstr>
      </vt:variant>
      <vt:variant>
        <vt:lpwstr/>
      </vt:variant>
      <vt:variant>
        <vt:i4>524364</vt:i4>
      </vt:variant>
      <vt:variant>
        <vt:i4>0</vt:i4>
      </vt:variant>
      <vt:variant>
        <vt:i4>0</vt:i4>
      </vt:variant>
      <vt:variant>
        <vt:i4>5</vt:i4>
      </vt:variant>
      <vt:variant>
        <vt:lpwstr>http://mojtermin.mk/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document template (country) empty</dc:title>
  <dc:creator>HERRY Pascal (ELARG)</dc:creator>
  <cp:lastModifiedBy>Dana.Petreska</cp:lastModifiedBy>
  <cp:revision>2</cp:revision>
  <cp:lastPrinted>2017-05-02T11:54:00Z</cp:lastPrinted>
  <dcterms:created xsi:type="dcterms:W3CDTF">2017-12-18T13:32:00Z</dcterms:created>
  <dcterms:modified xsi:type="dcterms:W3CDTF">2017-12-18T13:32:00Z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0x010100258AA79CEB83498886A3A08681123250002EF44A0CC19E3A47979ACE1AEE86DB02</vt:lpwstr>
  </property>
</Properties>
</file>